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Value Package - Index</w:t>
      </w:r>
    </w:p>
    <w:p>
      <w:pPr>
        <w:pStyle w:val="Author"/>
      </w:pPr>
      <w:r>
        <w:t xml:space="preserve">BioCreative Strategies</w:t>
      </w:r>
    </w:p>
    <w:p>
      <w:pPr>
        <w:pStyle w:val="Author"/>
      </w:pPr>
      <w:r>
        <w:t xml:space="preserve">Prepared for CARR Biosystems (Barry-Wehmiller)</w:t>
      </w:r>
    </w:p>
    <w:p>
      <w:pPr>
        <w:pStyle w:val="Date"/>
      </w:pPr>
      <w:r>
        <w:t xml:space="preserve">July 21,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19" w:name="X5893c417349e7a917b260dd4cd56d92eb283938"/>
    <w:p>
      <w:pPr>
        <w:pStyle w:val="Heading1"/>
      </w:pPr>
      <w:r>
        <w:t xml:space="preserve">CARR × BioCreative — Month 4 Walkthrough Package</w:t>
      </w:r>
    </w:p>
    <w:p>
      <w:pPr>
        <w:pStyle w:val="BlockText"/>
      </w:pPr>
      <w:r>
        <w:rPr>
          <w:b/>
          <w:bCs/>
        </w:rPr>
        <w:t xml:space="preserve">For:</w:t>
      </w:r>
      <w:r>
        <w:t xml:space="preserve"> </w:t>
      </w:r>
      <w:r>
        <w:t xml:space="preserve">Jake Andrews, CARR Biosystems</w:t>
      </w:r>
      <w:r>
        <w:t xml:space="preserve"> </w:t>
      </w:r>
      <w:r>
        <w:rPr>
          <w:b/>
          <w:bCs/>
        </w:rPr>
        <w:t xml:space="preserve">From:</w:t>
      </w:r>
      <w:r>
        <w:t xml:space="preserve"> </w:t>
      </w:r>
      <w:r>
        <w:t xml:space="preserve">Brian Elbert, BioCreative Strategies</w:t>
      </w:r>
      <w:r>
        <w:t xml:space="preserve"> </w:t>
      </w:r>
      <w:r>
        <w:rPr>
          <w:b/>
          <w:bCs/>
        </w:rPr>
        <w:t xml:space="preserve">Date:</w:t>
      </w:r>
      <w:r>
        <w:t xml:space="preserve"> </w:t>
      </w:r>
      <w:r>
        <w:t xml:space="preserve">May 14, 2026</w:t>
      </w:r>
      <w:r>
        <w:t xml:space="preserve"> </w:t>
      </w:r>
      <w:r>
        <w:rPr>
          <w:b/>
          <w:bCs/>
        </w:rPr>
        <w:t xml:space="preserve">Purpose:</w:t>
      </w:r>
      <w:r>
        <w:t xml:space="preserve"> </w:t>
      </w:r>
      <w:r>
        <w:t xml:space="preserve">A layered tour of the system underneath the UX — what was built, how it works, what each layer would look like if assembled outside this engagement, and where the value compounds.</w:t>
      </w:r>
    </w:p>
    <w:p>
      <w:r>
        <w:pict>
          <v:rect style="width:0;height:1.5pt" o:hralign="center" o:hrstd="t" o:hr="t"/>
        </w:pict>
      </w:r>
    </w:p>
    <w:bookmarkStart w:id="9" w:name="how-to-read-this"/>
    <w:p>
      <w:pPr>
        <w:pStyle w:val="Heading2"/>
      </w:pPr>
      <w:r>
        <w:t xml:space="preserve">How to read this</w:t>
      </w:r>
    </w:p>
    <w:p>
      <w:pPr>
        <w:pStyle w:val="FirstParagraph"/>
      </w:pPr>
      <w:r>
        <w:t xml:space="preserve">The CARR Biosystems Intelligence Platform is twelve layers deep. The send-message button at the top of the app is one of them. The other eleven are what make any message worth sending.</w:t>
      </w:r>
    </w:p>
    <w:p>
      <w:pPr>
        <w:pStyle w:val="BodyText"/>
      </w:pPr>
      <w:r>
        <w:t xml:space="preserve">This package walks through all twelve, one per file, in roughly the order data flows from raw inputs to a sent outreach. Each file is short enough to read in 5 minutes and is meant to be opened in any order — sections cross-link.</w:t>
      </w:r>
    </w:p>
    <w:p>
      <w:pPr>
        <w:pStyle w:val="BodyText"/>
      </w:pPr>
      <w:r>
        <w:t xml:space="preserve">Where it’s useful, each section ends with a</w:t>
      </w:r>
      <w:r>
        <w:t xml:space="preserve"> </w:t>
      </w:r>
      <w:r>
        <w:rPr>
          <w:b/>
          <w:bCs/>
        </w:rPr>
        <w:t xml:space="preserve">“What this layer looks like elsewhere”</w:t>
      </w:r>
      <w:r>
        <w:t xml:space="preserve"> </w:t>
      </w:r>
      <w:r>
        <w:t xml:space="preserve">note showing the typical commercial alternatives and rough pricing. That’s not a sales pitch — the goal is to make the choices visible, so when CARR’s team picks up parts of this system to run on their own, you know what you’re choosing for and against.</w:t>
      </w:r>
    </w:p>
    <w:p>
      <w:pPr>
        <w:pStyle w:val="BodyText"/>
      </w:pPr>
      <w:r>
        <w:t xml:space="preserve">This document is</w:t>
      </w:r>
      <w:r>
        <w:t xml:space="preserve"> </w:t>
      </w:r>
      <w:r>
        <w:rPr>
          <w:b/>
          <w:bCs/>
        </w:rPr>
        <w:t xml:space="preserve">honest</w:t>
      </w:r>
      <w:r>
        <w:t xml:space="preserve">. It includes what’s working at scale, what’s working but underused, what’s still in build/warm-up, and where the friction has been real on both sides.</w:t>
      </w:r>
    </w:p>
    <w:p>
      <w:r>
        <w:pict>
          <v:rect style="width:0;height:1.5pt" o:hralign="center" o:hrstd="t" o:hr="t"/>
        </w:pict>
      </w:r>
    </w:p>
    <w:bookmarkEnd w:id="9"/>
    <w:bookmarkStart w:id="10" w:name="the-twelve-layers"/>
    <w:p>
      <w:pPr>
        <w:pStyle w:val="Heading2"/>
      </w:pPr>
      <w:r>
        <w:t xml:space="preserve">The twelve layers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w:t>
            </w:r>
          </w:p>
        </w:tc>
        <w:tc>
          <w:tcPr/>
          <w:p>
            <w:pPr>
              <w:pStyle w:val="Compact"/>
            </w:pPr>
            <w:r>
              <w:t xml:space="preserve">File</w:t>
            </w:r>
          </w:p>
        </w:tc>
        <w:tc>
          <w:tcPr/>
          <w:p>
            <w:pPr>
              <w:pStyle w:val="Compact"/>
            </w:pPr>
            <w:r>
              <w:t xml:space="preserve">One-line summary</w:t>
            </w:r>
          </w:p>
        </w:tc>
      </w:tr>
      <w:tr>
        <w:tc>
          <w:tcPr/>
          <w:p>
            <w:pPr>
              <w:pStyle w:val="Compact"/>
            </w:pPr>
            <w:r>
              <w:t xml:space="preserve">01</w:t>
            </w:r>
          </w:p>
        </w:tc>
        <w:tc>
          <w:tcPr/>
          <w:p>
            <w:pPr>
              <w:pStyle w:val="Compact"/>
            </w:pPr>
            <w:r>
              <w:rPr>
                <w:rStyle w:val="VerbatimChar"/>
              </w:rPr>
              <w:t xml:space="preserve">01_what_carr_gave_us.md</w:t>
            </w:r>
          </w:p>
        </w:tc>
        <w:tc>
          <w:tcPr/>
          <w:p>
            <w:pPr>
              <w:pStyle w:val="Compact"/>
            </w:pPr>
            <w:r>
              <w:t xml:space="preserve">The starting inputs from CARR — what we built on</w:t>
            </w:r>
          </w:p>
        </w:tc>
      </w:tr>
      <w:tr>
        <w:tc>
          <w:tcPr/>
          <w:p>
            <w:pPr>
              <w:pStyle w:val="Compact"/>
            </w:pPr>
            <w:r>
              <w:t xml:space="preserve">02</w:t>
            </w:r>
          </w:p>
        </w:tc>
        <w:tc>
          <w:tcPr/>
          <w:p>
            <w:pPr>
              <w:pStyle w:val="Compact"/>
            </w:pPr>
            <w:r>
              <w:rPr>
                <w:rStyle w:val="VerbatimChar"/>
              </w:rPr>
              <w:t xml:space="preserve">02_market_intelligence_layer.md</w:t>
            </w:r>
          </w:p>
        </w:tc>
        <w:tc>
          <w:tcPr/>
          <w:p>
            <w:pPr>
              <w:pStyle w:val="Compact"/>
            </w:pPr>
            <w:r>
              <w:t xml:space="preserve">Brand bible, positioning, voice, design — derived from CARR’s own decks + site</w:t>
            </w:r>
          </w:p>
        </w:tc>
      </w:tr>
      <w:tr>
        <w:tc>
          <w:tcPr/>
          <w:p>
            <w:pPr>
              <w:pStyle w:val="Compact"/>
            </w:pPr>
            <w:r>
              <w:t xml:space="preserve">03</w:t>
            </w:r>
          </w:p>
        </w:tc>
        <w:tc>
          <w:tcPr/>
          <w:p>
            <w:pPr>
              <w:pStyle w:val="Compact"/>
            </w:pPr>
            <w:r>
              <w:rPr>
                <w:rStyle w:val="VerbatimChar"/>
              </w:rPr>
              <w:t xml:space="preserve">03_database_architecture.md</w:t>
            </w:r>
          </w:p>
        </w:tc>
        <w:tc>
          <w:tcPr/>
          <w:p>
            <w:pPr>
              <w:pStyle w:val="Compact"/>
            </w:pPr>
            <w:r>
              <w:t xml:space="preserve">Hub-and-spoke design, CARR’s own Supabase, the sync pattern</w:t>
            </w:r>
          </w:p>
        </w:tc>
      </w:tr>
      <w:tr>
        <w:tc>
          <w:tcPr/>
          <w:p>
            <w:pPr>
              <w:pStyle w:val="Compact"/>
            </w:pPr>
            <w:r>
              <w:t xml:space="preserve">04</w:t>
            </w:r>
          </w:p>
        </w:tc>
        <w:tc>
          <w:tcPr/>
          <w:p>
            <w:pPr>
              <w:pStyle w:val="Compact"/>
            </w:pPr>
            <w:r>
              <w:rPr>
                <w:rStyle w:val="VerbatimChar"/>
              </w:rPr>
              <w:t xml:space="preserve">04_account_universe.md</w:t>
            </w:r>
          </w:p>
        </w:tc>
        <w:tc>
          <w:tcPr/>
          <w:p>
            <w:pPr>
              <w:pStyle w:val="Compact"/>
            </w:pPr>
            <w:r>
              <w:t xml:space="preserve">17K Hub TAM → 3,964 CARR-specific CGT accounts, ICP v2 scoring</w:t>
            </w:r>
          </w:p>
        </w:tc>
      </w:tr>
      <w:tr>
        <w:tc>
          <w:tcPr/>
          <w:p>
            <w:pPr>
              <w:pStyle w:val="Compact"/>
            </w:pPr>
            <w:r>
              <w:t xml:space="preserve">05</w:t>
            </w:r>
          </w:p>
        </w:tc>
        <w:tc>
          <w:tcPr/>
          <w:p>
            <w:pPr>
              <w:pStyle w:val="Compact"/>
            </w:pPr>
            <w:r>
              <w:rPr>
                <w:rStyle w:val="VerbatimChar"/>
              </w:rPr>
              <w:t xml:space="preserve">05_account_enrichment_pipeline.md</w:t>
            </w:r>
          </w:p>
        </w:tc>
        <w:tc>
          <w:tcPr/>
          <w:p>
            <w:pPr>
              <w:pStyle w:val="Compact"/>
            </w:pPr>
            <w:r>
              <w:t xml:space="preserve">Hub L2 + CARR deep enrichment (centrifuge fit, separation tech, scale)</w:t>
            </w:r>
          </w:p>
        </w:tc>
      </w:tr>
      <w:tr>
        <w:tc>
          <w:tcPr/>
          <w:p>
            <w:pPr>
              <w:pStyle w:val="Compact"/>
            </w:pPr>
            <w:r>
              <w:t xml:space="preserve">06</w:t>
            </w:r>
          </w:p>
        </w:tc>
        <w:tc>
          <w:tcPr/>
          <w:p>
            <w:pPr>
              <w:pStyle w:val="Compact"/>
            </w:pPr>
            <w:r>
              <w:rPr>
                <w:rStyle w:val="VerbatimChar"/>
              </w:rPr>
              <w:t xml:space="preserve">06_contact_discovery.md</w:t>
            </w:r>
          </w:p>
        </w:tc>
        <w:tc>
          <w:tcPr/>
          <w:p>
            <w:pPr>
              <w:pStyle w:val="Compact"/>
            </w:pPr>
            <w:r>
              <w:t xml:space="preserve">104K contacts from PhantomBuster + Clay Find-People + Sales Nav</w:t>
            </w:r>
          </w:p>
        </w:tc>
      </w:tr>
      <w:tr>
        <w:tc>
          <w:tcPr/>
          <w:p>
            <w:pPr>
              <w:pStyle w:val="Compact"/>
            </w:pPr>
            <w:r>
              <w:t xml:space="preserve">07</w:t>
            </w:r>
          </w:p>
        </w:tc>
        <w:tc>
          <w:tcPr/>
          <w:p>
            <w:pPr>
              <w:pStyle w:val="Compact"/>
            </w:pPr>
            <w:r>
              <w:rPr>
                <w:rStyle w:val="VerbatimChar"/>
              </w:rPr>
              <w:t xml:space="preserve">07_contact_enrichment_personas.md</w:t>
            </w:r>
          </w:p>
        </w:tc>
        <w:tc>
          <w:tcPr/>
          <w:p>
            <w:pPr>
              <w:pStyle w:val="Compact"/>
            </w:pPr>
            <w:r>
              <w:t xml:space="preserve">Clay full enrichment → 6-persona buyer classification</w:t>
            </w:r>
          </w:p>
        </w:tc>
      </w:tr>
      <w:tr>
        <w:tc>
          <w:tcPr/>
          <w:p>
            <w:pPr>
              <w:pStyle w:val="Compact"/>
            </w:pPr>
            <w:r>
              <w:t xml:space="preserve">08</w:t>
            </w:r>
          </w:p>
        </w:tc>
        <w:tc>
          <w:tcPr/>
          <w:p>
            <w:pPr>
              <w:pStyle w:val="Compact"/>
            </w:pPr>
            <w:r>
              <w:rPr>
                <w:rStyle w:val="VerbatimChar"/>
              </w:rPr>
              <w:t xml:space="preserve">08_messaging_system.md</w:t>
            </w:r>
          </w:p>
        </w:tc>
        <w:tc>
          <w:tcPr/>
          <w:p>
            <w:pPr>
              <w:pStyle w:val="Compact"/>
            </w:pPr>
            <w:r>
              <w:t xml:space="preserve">38-row SSO matrix, Path-to-Patients variant, account signals injection</w:t>
            </w:r>
          </w:p>
        </w:tc>
      </w:tr>
      <w:tr>
        <w:tc>
          <w:tcPr/>
          <w:p>
            <w:pPr>
              <w:pStyle w:val="Compact"/>
            </w:pPr>
            <w:r>
              <w:t xml:space="preserve">09</w:t>
            </w:r>
          </w:p>
        </w:tc>
        <w:tc>
          <w:tcPr/>
          <w:p>
            <w:pPr>
              <w:pStyle w:val="Compact"/>
            </w:pPr>
            <w:r>
              <w:rPr>
                <w:rStyle w:val="VerbatimChar"/>
              </w:rPr>
              <w:t xml:space="preserve">09_live_intelligence_apis.md</w:t>
            </w:r>
          </w:p>
        </w:tc>
        <w:tc>
          <w:tcPr/>
          <w:p>
            <w:pPr>
              <w:pStyle w:val="Compact"/>
            </w:pPr>
            <w:r>
              <w:t xml:space="preserve">Real-time news, trials, grants, patents — auto-synced</w:t>
            </w:r>
          </w:p>
        </w:tc>
      </w:tr>
      <w:tr>
        <w:tc>
          <w:tcPr/>
          <w:p>
            <w:pPr>
              <w:pStyle w:val="Compact"/>
            </w:pPr>
            <w:r>
              <w:t xml:space="preserve">10</w:t>
            </w:r>
          </w:p>
        </w:tc>
        <w:tc>
          <w:tcPr/>
          <w:p>
            <w:pPr>
              <w:pStyle w:val="Compact"/>
            </w:pPr>
            <w:r>
              <w:rPr>
                <w:rStyle w:val="VerbatimChar"/>
              </w:rPr>
              <w:t xml:space="preserve">10_outreach_infrastructure.md</w:t>
            </w:r>
          </w:p>
        </w:tc>
        <w:tc>
          <w:tcPr/>
          <w:p>
            <w:pPr>
              <w:pStyle w:val="Compact"/>
            </w:pPr>
            <w:r>
              <w:t xml:space="preserve">3 warmed email domains, 5 HeyReach seats, EmailBison instance</w:t>
            </w:r>
          </w:p>
        </w:tc>
      </w:tr>
      <w:tr>
        <w:tc>
          <w:tcPr/>
          <w:p>
            <w:pPr>
              <w:pStyle w:val="Compact"/>
            </w:pPr>
            <w:r>
              <w:t xml:space="preserve">11</w:t>
            </w:r>
          </w:p>
        </w:tc>
        <w:tc>
          <w:tcPr/>
          <w:p>
            <w:pPr>
              <w:pStyle w:val="Compact"/>
            </w:pPr>
            <w:r>
              <w:rPr>
                <w:rStyle w:val="VerbatimChar"/>
              </w:rPr>
              <w:t xml:space="preserve">11_supporting_assets.md</w:t>
            </w:r>
          </w:p>
        </w:tc>
        <w:tc>
          <w:tcPr/>
          <w:p>
            <w:pPr>
              <w:pStyle w:val="Compact"/>
            </w:pPr>
            <w:r>
              <w:t xml:space="preserve">Research docs, landing pages, branded assets, Edge Functions, custom scripts</w:t>
            </w:r>
          </w:p>
        </w:tc>
      </w:tr>
      <w:tr>
        <w:tc>
          <w:tcPr/>
          <w:p>
            <w:pPr>
              <w:pStyle w:val="Compact"/>
            </w:pPr>
            <w:r>
              <w:t xml:space="preserve">12</w:t>
            </w:r>
          </w:p>
        </w:tc>
        <w:tc>
          <w:tcPr/>
          <w:p>
            <w:pPr>
              <w:pStyle w:val="Compact"/>
            </w:pPr>
            <w:r>
              <w:rPr>
                <w:rStyle w:val="VerbatimChar"/>
              </w:rPr>
              <w:t xml:space="preserve">12_market_alternative_costs.md</w:t>
            </w:r>
          </w:p>
        </w:tc>
        <w:tc>
          <w:tcPr/>
          <w:p>
            <w:pPr>
              <w:pStyle w:val="Compact"/>
            </w:pPr>
            <w:r>
              <w:t xml:space="preserve">The whole stack assembled commercially — rough cost reference</w:t>
            </w:r>
          </w:p>
        </w:tc>
      </w:tr>
      <w:tr>
        <w:tc>
          <w:tcPr/>
          <w:p>
            <w:pPr>
              <w:pStyle w:val="Compact"/>
            </w:pPr>
            <w:r>
              <w:t xml:space="preserve">—</w:t>
            </w:r>
          </w:p>
        </w:tc>
        <w:tc>
          <w:tcPr/>
          <w:p>
            <w:pPr>
              <w:pStyle w:val="Compact"/>
            </w:pPr>
            <w:r>
              <w:rPr>
                <w:rStyle w:val="VerbatimChar"/>
              </w:rPr>
              <w:t xml:space="preserve">_appendix_citations.md</w:t>
            </w:r>
          </w:p>
        </w:tc>
        <w:tc>
          <w:tcPr/>
          <w:p>
            <w:pPr>
              <w:pStyle w:val="Compact"/>
            </w:pPr>
            <w:r>
              <w:t xml:space="preserve">External sources cited, linked</w:t>
            </w:r>
          </w:p>
        </w:tc>
      </w:tr>
    </w:tbl>
    <w:p>
      <w:r>
        <w:pict>
          <v:rect style="width:0;height:1.5pt" o:hralign="center" o:hrstd="t" o:hr="t"/>
        </w:pict>
      </w:r>
    </w:p>
    <w:bookmarkEnd w:id="10"/>
    <w:bookmarkStart w:id="11" w:name="quick-look-numbers-live-may-13-2026"/>
    <w:p>
      <w:pPr>
        <w:pStyle w:val="Heading2"/>
      </w:pPr>
      <w:r>
        <w:t xml:space="preserve">Quick-look numbers (live, May 13 2026)</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Layer</w:t>
            </w:r>
          </w:p>
        </w:tc>
        <w:tc>
          <w:tcPr/>
          <w:p>
            <w:pPr>
              <w:pStyle w:val="Compact"/>
            </w:pPr>
            <w:r>
              <w:t xml:space="preserve">What it is</w:t>
            </w:r>
          </w:p>
        </w:tc>
        <w:tc>
          <w:tcPr/>
          <w:p>
            <w:pPr>
              <w:pStyle w:val="Compact"/>
            </w:pPr>
            <w:r>
              <w:t xml:space="preserve">Where it stands</w:t>
            </w:r>
          </w:p>
        </w:tc>
      </w:tr>
      <w:tr>
        <w:tc>
          <w:tcPr/>
          <w:p>
            <w:pPr>
              <w:pStyle w:val="Compact"/>
            </w:pPr>
            <w:r>
              <w:t xml:space="preserve">Database</w:t>
            </w:r>
          </w:p>
        </w:tc>
        <w:tc>
          <w:tcPr/>
          <w:p>
            <w:pPr>
              <w:pStyle w:val="Compact"/>
            </w:pPr>
            <w:r>
              <w:t xml:space="preserve">CARR Supabase (</w:t>
            </w:r>
            <w:r>
              <w:rPr>
                <w:rStyle w:val="VerbatimChar"/>
              </w:rPr>
              <w:t xml:space="preserve">drzxmokguptvwptuqjcv</w:t>
            </w:r>
            <w:r>
              <w:t xml:space="preserve">)</w:t>
            </w:r>
          </w:p>
        </w:tc>
        <w:tc>
          <w:tcPr/>
          <w:p>
            <w:pPr>
              <w:pStyle w:val="Compact"/>
            </w:pPr>
            <w:r>
              <w:t xml:space="preserve">446 migrations, 18 Edge Functions, 95 views, 111 functions, 17 cron jobs</w:t>
            </w:r>
          </w:p>
        </w:tc>
      </w:tr>
      <w:tr>
        <w:tc>
          <w:tcPr/>
          <w:p>
            <w:pPr>
              <w:pStyle w:val="Compact"/>
            </w:pPr>
            <w:r>
              <w:t xml:space="preserve">Accounts</w:t>
            </w:r>
          </w:p>
        </w:tc>
        <w:tc>
          <w:tcPr/>
          <w:p>
            <w:pPr>
              <w:pStyle w:val="Compact"/>
            </w:pPr>
            <w:r>
              <w:t xml:space="preserve">CGT-filtered universe</w:t>
            </w:r>
          </w:p>
        </w:tc>
        <w:tc>
          <w:tcPr/>
          <w:p>
            <w:pPr>
              <w:pStyle w:val="Compact"/>
            </w:pPr>
            <w:r>
              <w:t xml:space="preserve">3,964 total · 3,406 ICP-relevant · ICP v2 scored · 7-status lifecycle</w:t>
            </w:r>
          </w:p>
        </w:tc>
      </w:tr>
      <w:tr>
        <w:tc>
          <w:tcPr/>
          <w:p>
            <w:pPr>
              <w:pStyle w:val="Compact"/>
            </w:pPr>
            <w:r>
              <w:t xml:space="preserve">Contacts</w:t>
            </w:r>
          </w:p>
        </w:tc>
        <w:tc>
          <w:tcPr/>
          <w:p>
            <w:pPr>
              <w:pStyle w:val="Compact"/>
            </w:pPr>
            <w:r>
              <w:t xml:space="preserve">Discovered &amp; loaded</w:t>
            </w:r>
          </w:p>
        </w:tc>
        <w:tc>
          <w:tcPr/>
          <w:p>
            <w:pPr>
              <w:pStyle w:val="Compact"/>
            </w:pPr>
            <w:r>
              <w:t xml:space="preserve">104,333 total · 8,268 with email · 7,610 senior · 3,275 Clay-enriched</w:t>
            </w:r>
          </w:p>
        </w:tc>
      </w:tr>
      <w:tr>
        <w:tc>
          <w:tcPr/>
          <w:p>
            <w:pPr>
              <w:pStyle w:val="Compact"/>
            </w:pPr>
            <w:r>
              <w:t xml:space="preserve">Personas</w:t>
            </w:r>
          </w:p>
        </w:tc>
        <w:tc>
          <w:tcPr/>
          <w:p>
            <w:pPr>
              <w:pStyle w:val="Compact"/>
            </w:pPr>
            <w:r>
              <w:t xml:space="preserve">L2-classified</w:t>
            </w:r>
          </w:p>
        </w:tc>
        <w:tc>
          <w:tcPr/>
          <w:p>
            <w:pPr>
              <w:pStyle w:val="Compact"/>
            </w:pPr>
            <w:r>
              <w:t xml:space="preserve">3,558 contacts classified across 6 marketing personas</w:t>
            </w:r>
          </w:p>
        </w:tc>
      </w:tr>
      <w:tr>
        <w:tc>
          <w:tcPr/>
          <w:p>
            <w:pPr>
              <w:pStyle w:val="Compact"/>
            </w:pPr>
            <w:r>
              <w:t xml:space="preserve">Messaging</w:t>
            </w:r>
          </w:p>
        </w:tc>
        <w:tc>
          <w:tcPr/>
          <w:p>
            <w:pPr>
              <w:pStyle w:val="Compact"/>
            </w:pPr>
            <w:r>
              <w:t xml:space="preserve">SSO matrix engine</w:t>
            </w:r>
          </w:p>
        </w:tc>
        <w:tc>
          <w:tcPr/>
          <w:p>
            <w:pPr>
              <w:pStyle w:val="Compact"/>
            </w:pPr>
            <w:r>
              <w:t xml:space="preserve">38-row matrix (segment × persona) · 5 message types · 2 variants (Traditional + Path to Patients) · v55 EF deployed</w:t>
            </w:r>
          </w:p>
        </w:tc>
      </w:tr>
      <w:tr>
        <w:tc>
          <w:tcPr/>
          <w:p>
            <w:pPr>
              <w:pStyle w:val="Compact"/>
            </w:pPr>
            <w:r>
              <w:t xml:space="preserve">Live intel</w:t>
            </w:r>
          </w:p>
        </w:tc>
        <w:tc>
          <w:tcPr/>
          <w:p>
            <w:pPr>
              <w:pStyle w:val="Compact"/>
            </w:pPr>
            <w:r>
              <w:t xml:space="preserve">Auto-refreshed</w:t>
            </w:r>
          </w:p>
        </w:tc>
        <w:tc>
          <w:tcPr/>
          <w:p>
            <w:pPr>
              <w:pStyle w:val="Compact"/>
            </w:pPr>
            <w:r>
              <w:t xml:space="preserve">704 news articles · 1,862 trials · 5,000 NIH grants</w:t>
            </w:r>
          </w:p>
        </w:tc>
      </w:tr>
      <w:tr>
        <w:tc>
          <w:tcPr/>
          <w:p>
            <w:pPr>
              <w:pStyle w:val="Compact"/>
            </w:pPr>
            <w:r>
              <w:t xml:space="preserve">LinkedIn</w:t>
            </w:r>
          </w:p>
        </w:tc>
        <w:tc>
          <w:tcPr/>
          <w:p>
            <w:pPr>
              <w:pStyle w:val="Compact"/>
            </w:pPr>
            <w:r>
              <w:t xml:space="preserve">HeyReach (5 seats)</w:t>
            </w:r>
          </w:p>
        </w:tc>
        <w:tc>
          <w:tcPr/>
          <w:p>
            <w:pPr>
              <w:pStyle w:val="Compact"/>
            </w:pPr>
            <w:r>
              <w:t xml:space="preserve">37 campaigns · 765 leads loaded · 800 CRs sent · 157 accepted · 11 webhook events live</w:t>
            </w:r>
          </w:p>
        </w:tc>
      </w:tr>
      <w:tr>
        <w:tc>
          <w:tcPr/>
          <w:p>
            <w:pPr>
              <w:pStyle w:val="Compact"/>
            </w:pPr>
            <w:r>
              <w:t xml:space="preserve">Email</w:t>
            </w:r>
          </w:p>
        </w:tc>
        <w:tc>
          <w:tcPr/>
          <w:p>
            <w:pPr>
              <w:pStyle w:val="Compact"/>
            </w:pPr>
            <w:r>
              <w:t xml:space="preserve">EmailBison + 3 warmed domains</w:t>
            </w:r>
          </w:p>
        </w:tc>
        <w:tc>
          <w:tcPr/>
          <w:p>
            <w:pPr>
              <w:pStyle w:val="Compact"/>
            </w:pPr>
            <w:r>
              <w:t xml:space="preserve">5 mailboxes warmed · 4 evergreen campaigns staged · 0 sent (final activation pending)</w:t>
            </w:r>
          </w:p>
        </w:tc>
      </w:tr>
      <w:tr>
        <w:tc>
          <w:tcPr/>
          <w:p>
            <w:pPr>
              <w:pStyle w:val="Compact"/>
            </w:pPr>
            <w:r>
              <w:t xml:space="preserve">Brand</w:t>
            </w:r>
          </w:p>
        </w:tc>
        <w:tc>
          <w:tcPr/>
          <w:p>
            <w:pPr>
              <w:pStyle w:val="Compact"/>
            </w:pPr>
            <w:r>
              <w:t xml:space="preserve">Master docs + DB-injected positioning</w:t>
            </w:r>
          </w:p>
        </w:tc>
        <w:tc>
          <w:tcPr/>
          <w:p>
            <w:pPr>
              <w:pStyle w:val="Compact"/>
            </w:pPr>
            <w:r>
              <w:t xml:space="preserve">4 master docs · 30 research docs · 17K-char positioning JSON in</w:t>
            </w:r>
            <w:r>
              <w:t xml:space="preserve"> </w:t>
            </w:r>
            <w:r>
              <w:rPr>
                <w:rStyle w:val="VerbatimChar"/>
              </w:rPr>
              <w:t xml:space="preserve">client_config</w:t>
            </w:r>
            <w:r>
              <w:t xml:space="preserve"> </w:t>
            </w:r>
            <w:r>
              <w:t xml:space="preserve">· 3 landing pages</w:t>
            </w:r>
          </w:p>
        </w:tc>
      </w:tr>
      <w:tr>
        <w:tc>
          <w:tcPr/>
          <w:p>
            <w:pPr>
              <w:pStyle w:val="Compact"/>
            </w:pPr>
            <w:r>
              <w:t xml:space="preserve">Team UX</w:t>
            </w:r>
          </w:p>
        </w:tc>
        <w:tc>
          <w:tcPr/>
          <w:p>
            <w:pPr>
              <w:pStyle w:val="Compact"/>
            </w:pPr>
            <w:r>
              <w:t xml:space="preserve">React app</w:t>
            </w:r>
          </w:p>
        </w:tc>
        <w:tc>
          <w:tcPr/>
          <w:p>
            <w:pPr>
              <w:pStyle w:val="Compact"/>
            </w:pPr>
            <w:r>
              <w:t xml:space="preserve">22 pages · 6 active users · LinkedIn/Email follow-up queues live</w:t>
            </w:r>
          </w:p>
        </w:tc>
      </w:tr>
      <w:tr>
        <w:tc>
          <w:tcPr/>
          <w:p>
            <w:pPr>
              <w:pStyle w:val="Compact"/>
            </w:pPr>
            <w:r>
              <w:t xml:space="preserve">Engagement</w:t>
            </w:r>
          </w:p>
        </w:tc>
        <w:tc>
          <w:tcPr/>
          <w:p>
            <w:pPr>
              <w:pStyle w:val="Compact"/>
            </w:pPr>
            <w:r>
              <w:t xml:space="preserve">Months 1–3</w:t>
            </w:r>
          </w:p>
        </w:tc>
        <w:tc>
          <w:tcPr/>
          <w:p>
            <w:pPr>
              <w:pStyle w:val="Compact"/>
            </w:pPr>
            <w:r>
              <w:t xml:space="preserve">10 meetings (~600 min) · 120+ email threads · 11 CARR/BW people engaged</w:t>
            </w:r>
          </w:p>
        </w:tc>
      </w:tr>
    </w:tbl>
    <w:p>
      <w:pPr>
        <w:pStyle w:val="BlockText"/>
      </w:pPr>
      <w:r>
        <w:t xml:space="preserve">Numbers source:</w:t>
      </w:r>
      <w:r>
        <w:t xml:space="preserve"> </w:t>
      </w:r>
      <w:r>
        <w:rPr>
          <w:rStyle w:val="VerbatimChar"/>
        </w:rPr>
        <w:t xml:space="preserve">docs/CARR_SYSTEM_OVERVIEW.md</w:t>
      </w:r>
      <w:r>
        <w:t xml:space="preserve"> </w:t>
      </w:r>
      <w:r>
        <w:t xml:space="preserve">v3.5,</w:t>
      </w:r>
      <w:r>
        <w:t xml:space="preserve"> </w:t>
      </w:r>
      <w:r>
        <w:rPr>
          <w:rStyle w:val="VerbatimChar"/>
        </w:rPr>
        <w:t xml:space="preserve">docs/CARR_MONTH_THREE_REVIEW.md</w:t>
      </w:r>
      <w:r>
        <w:t xml:space="preserve">,</w:t>
      </w:r>
      <w:r>
        <w:t xml:space="preserve"> </w:t>
      </w:r>
      <w:r>
        <w:rPr>
          <w:rStyle w:val="VerbatimChar"/>
        </w:rPr>
        <w:t xml:space="preserve">docs/CARR_LAUNCH_READINESS_2026-05.md</w:t>
      </w:r>
      <w:r>
        <w:t xml:space="preserve">,</w:t>
      </w:r>
      <w:r>
        <w:t xml:space="preserve"> </w:t>
      </w:r>
      <w:r>
        <w:rPr>
          <w:rStyle w:val="VerbatimChar"/>
        </w:rPr>
        <w:t xml:space="preserve">docs/SSO_MATRIX_DEEP_DIVE_2026-05-11.md</w:t>
      </w:r>
      <w:r>
        <w:t xml:space="preserve">, live DB queries.</w:t>
      </w:r>
    </w:p>
    <w:p>
      <w:r>
        <w:pict>
          <v:rect style="width:0;height:1.5pt" o:hralign="center" o:hrstd="t" o:hr="t"/>
        </w:pict>
      </w:r>
    </w:p>
    <w:bookmarkEnd w:id="11"/>
    <w:bookmarkStart w:id="16" w:name="Xd203efdbb93fe014c1be8f5a58717f36b9a4684"/>
    <w:p>
      <w:pPr>
        <w:pStyle w:val="Heading2"/>
      </w:pPr>
      <w:r>
        <w:t xml:space="preserve">Honest framing — what’s working, what’s not, what needs CARR</w:t>
      </w:r>
    </w:p>
    <w:bookmarkStart w:id="12" w:name="working-at-scale"/>
    <w:p>
      <w:pPr>
        <w:pStyle w:val="Heading3"/>
      </w:pPr>
      <w:r>
        <w:t xml:space="preserve">Working at scale</w:t>
      </w:r>
    </w:p>
    <w:p>
      <w:pPr>
        <w:pStyle w:val="Compact"/>
        <w:numPr>
          <w:ilvl w:val="0"/>
          <w:numId w:val="1001"/>
        </w:numPr>
      </w:pPr>
      <w:r>
        <w:rPr>
          <w:b/>
          <w:bCs/>
        </w:rPr>
        <w:t xml:space="preserve">Data plumbing.</w:t>
      </w:r>
      <w:r>
        <w:t xml:space="preserve"> </w:t>
      </w:r>
      <w:r>
        <w:t xml:space="preserve">Hub → CARR sync runs weekly. News refreshes every 4h. ICP scoring, persona classification, message generation all reproducible from notebooks anyone can re-run.</w:t>
      </w:r>
    </w:p>
    <w:p>
      <w:pPr>
        <w:pStyle w:val="Compact"/>
        <w:numPr>
          <w:ilvl w:val="0"/>
          <w:numId w:val="1001"/>
        </w:numPr>
      </w:pPr>
      <w:r>
        <w:rPr>
          <w:b/>
          <w:bCs/>
        </w:rPr>
        <w:t xml:space="preserve">Brand/positioning data layer.</w:t>
      </w:r>
      <w:r>
        <w:t xml:space="preserve"> </w:t>
      </w:r>
      <w:r>
        <w:t xml:space="preserve">Every AI-generated message pulls from a 17K-char positioning JSON built from CARR’s own decks + a 44-page Firecrawl of carrbiosystems.com. Banned phrases, preferred vocabulary, and Path-to-Patients framing are enforced at generation time.</w:t>
      </w:r>
    </w:p>
    <w:p>
      <w:pPr>
        <w:pStyle w:val="Compact"/>
        <w:numPr>
          <w:ilvl w:val="0"/>
          <w:numId w:val="1001"/>
        </w:numPr>
      </w:pPr>
      <w:r>
        <w:rPr>
          <w:b/>
          <w:bCs/>
        </w:rPr>
        <w:t xml:space="preserve">Live intelligence.</w:t>
      </w:r>
      <w:r>
        <w:t xml:space="preserve"> </w:t>
      </w:r>
      <w:r>
        <w:t xml:space="preserve">1,862 trials and 5,000 grants are matched to specific accounts. Account signals are injected into outreach generation as of v55.</w:t>
      </w:r>
    </w:p>
    <w:p>
      <w:pPr>
        <w:pStyle w:val="Compact"/>
        <w:numPr>
          <w:ilvl w:val="0"/>
          <w:numId w:val="1001"/>
        </w:numPr>
      </w:pPr>
      <w:r>
        <w:rPr>
          <w:b/>
          <w:bCs/>
        </w:rPr>
        <w:t xml:space="preserve">Infrastructure.</w:t>
      </w:r>
      <w:r>
        <w:t xml:space="preserve"> </w:t>
      </w:r>
      <w:r>
        <w:t xml:space="preserve">All HeyReach + EmailBison plumbing is wired end-to-end. Webhooks live. Reply capture works.</w:t>
      </w:r>
    </w:p>
    <w:bookmarkEnd w:id="12"/>
    <w:bookmarkStart w:id="13" w:name="working-but-underused"/>
    <w:p>
      <w:pPr>
        <w:pStyle w:val="Heading3"/>
      </w:pPr>
      <w:r>
        <w:t xml:space="preserve">Working but underused</w:t>
      </w:r>
    </w:p>
    <w:p>
      <w:pPr>
        <w:pStyle w:val="Compact"/>
        <w:numPr>
          <w:ilvl w:val="0"/>
          <w:numId w:val="1002"/>
        </w:numPr>
      </w:pPr>
      <w:r>
        <w:rPr>
          <w:b/>
          <w:bCs/>
        </w:rPr>
        <w:t xml:space="preserve">6-persona messaging matrix.</w:t>
      </w:r>
      <w:r>
        <w:t xml:space="preserve"> </w:t>
      </w:r>
      <w:r>
        <w:t xml:space="preserve">38 rows live in the DB. 2,650 contacts are persona-classified. The reps haven’t yet sent at volume from this matrix.</w:t>
      </w:r>
    </w:p>
    <w:p>
      <w:pPr>
        <w:pStyle w:val="Compact"/>
        <w:numPr>
          <w:ilvl w:val="0"/>
          <w:numId w:val="1002"/>
        </w:numPr>
      </w:pPr>
      <w:r>
        <w:rPr>
          <w:b/>
          <w:bCs/>
        </w:rPr>
        <w:t xml:space="preserve">Path-to-Patients variant.</w:t>
      </w:r>
      <w:r>
        <w:t xml:space="preserve"> </w:t>
      </w:r>
      <w:r>
        <w:t xml:space="preserve">Wired in the EF; no UX control yet in the CARR app to toggle from</w:t>
      </w:r>
      <w:r>
        <w:t xml:space="preserve"> </w:t>
      </w:r>
      <w:r>
        <w:rPr>
          <w:rStyle w:val="VerbatimChar"/>
        </w:rPr>
        <w:t xml:space="preserve">traditional</w:t>
      </w:r>
      <w:r>
        <w:t xml:space="preserve"> </w:t>
      </w:r>
      <w:r>
        <w:t xml:space="preserve">to</w:t>
      </w:r>
      <w:r>
        <w:t xml:space="preserve"> </w:t>
      </w:r>
      <w:r>
        <w:rPr>
          <w:rStyle w:val="VerbatimChar"/>
        </w:rPr>
        <w:t xml:space="preserve">path_to_patients</w:t>
      </w:r>
      <w:r>
        <w:t xml:space="preserve"> </w:t>
      </w:r>
      <w:r>
        <w:t xml:space="preserve">per send.</w:t>
      </w:r>
    </w:p>
    <w:p>
      <w:pPr>
        <w:pStyle w:val="Compact"/>
        <w:numPr>
          <w:ilvl w:val="0"/>
          <w:numId w:val="1002"/>
        </w:numPr>
      </w:pPr>
      <w:r>
        <w:rPr>
          <w:b/>
          <w:bCs/>
        </w:rPr>
        <w:t xml:space="preserve">Target Universe.</w:t>
      </w:r>
      <w:r>
        <w:t xml:space="preserve"> </w:t>
      </w:r>
      <w:r>
        <w:t xml:space="preserve">478 unreviewed accounts on Nico’s desk alone — bulk-review UX exists but throughput is low.</w:t>
      </w:r>
    </w:p>
    <w:bookmarkEnd w:id="13"/>
    <w:bookmarkStart w:id="14" w:name="buildwarm-up"/>
    <w:p>
      <w:pPr>
        <w:pStyle w:val="Heading3"/>
      </w:pPr>
      <w:r>
        <w:t xml:space="preserve">Build/warm-up</w:t>
      </w:r>
    </w:p>
    <w:p>
      <w:pPr>
        <w:pStyle w:val="Compact"/>
        <w:numPr>
          <w:ilvl w:val="0"/>
          <w:numId w:val="1003"/>
        </w:numPr>
      </w:pPr>
      <w:r>
        <w:rPr>
          <w:b/>
          <w:bCs/>
        </w:rPr>
        <w:t xml:space="preserve">EmailBison campaigns</w:t>
      </w:r>
      <w:r>
        <w:t xml:space="preserve"> </w:t>
      </w:r>
      <w:r>
        <w:t xml:space="preserve">— 4 evergreen campaigns staged with 500 contacts loaded, 0 sent. Final activation pending vault-secret confirmation and rep sign-off.</w:t>
      </w:r>
    </w:p>
    <w:p>
      <w:pPr>
        <w:pStyle w:val="Compact"/>
        <w:numPr>
          <w:ilvl w:val="0"/>
          <w:numId w:val="1003"/>
        </w:numPr>
      </w:pPr>
      <w:r>
        <w:rPr>
          <w:b/>
          <w:bCs/>
        </w:rPr>
        <w:t xml:space="preserve">HeyReach seats</w:t>
      </w:r>
      <w:r>
        <w:rPr>
          <w:b/>
          <w:bCs/>
        </w:rPr>
        <w:t xml:space="preserve"> </w:t>
      </w:r>
      <w:r>
        <w:rPr>
          <w:rStyle w:val="VerbatimChar"/>
          <w:b/>
          <w:bCs/>
        </w:rPr>
        <w:t xml:space="preserve">is_active=false</w:t>
      </w:r>
      <w:r>
        <w:t xml:space="preserve"> </w:t>
      </w:r>
      <w:r>
        <w:t xml:space="preserve">— upstream seat-management quirk; auth is valid, sends still work via</w:t>
      </w:r>
      <w:r>
        <w:t xml:space="preserve"> </w:t>
      </w:r>
      <w:r>
        <w:rPr>
          <w:rStyle w:val="VerbatimChar"/>
        </w:rPr>
        <w:t xml:space="preserve">resumeFinishedCampaign:true</w:t>
      </w:r>
      <w:r>
        <w:t xml:space="preserve">, but this is on the bug list.</w:t>
      </w:r>
    </w:p>
    <w:bookmarkEnd w:id="14"/>
    <w:bookmarkStart w:id="15" w:name="X2def1903068b667c9e941cedfdc34f6452e1b2c"/>
    <w:p>
      <w:pPr>
        <w:pStyle w:val="Heading3"/>
      </w:pPr>
      <w:r>
        <w:t xml:space="preserve">Where CARR’s input has been the bottleneck</w:t>
      </w:r>
    </w:p>
    <w:p>
      <w:pPr>
        <w:pStyle w:val="Compact"/>
        <w:numPr>
          <w:ilvl w:val="0"/>
          <w:numId w:val="1004"/>
        </w:numPr>
      </w:pPr>
      <w:r>
        <w:t xml:space="preserve">Pipeline opportunity list never shared (no source-of-truth deal list to map against the universe).</w:t>
      </w:r>
    </w:p>
    <w:p>
      <w:pPr>
        <w:pStyle w:val="Compact"/>
        <w:numPr>
          <w:ilvl w:val="0"/>
          <w:numId w:val="1004"/>
        </w:numPr>
      </w:pPr>
      <w:r>
        <w:t xml:space="preserve">Paul (EMEA) and Kelvin (APAC) onboarding details never received — ~1,200 accounts can’t activate without them.</w:t>
      </w:r>
    </w:p>
    <w:p>
      <w:pPr>
        <w:pStyle w:val="Compact"/>
        <w:numPr>
          <w:ilvl w:val="0"/>
          <w:numId w:val="1004"/>
        </w:numPr>
      </w:pPr>
      <w:r>
        <w:t xml:space="preserve">Marketing team (Colleen) content priorities never received — Content Studio infrastructure live but no published output.</w:t>
      </w:r>
    </w:p>
    <w:p>
      <w:pPr>
        <w:pStyle w:val="Compact"/>
        <w:numPr>
          <w:ilvl w:val="0"/>
          <w:numId w:val="1004"/>
        </w:numPr>
      </w:pPr>
      <w:r>
        <w:t xml:space="preserve">HubSpot / D365 access never granted.</w:t>
      </w:r>
    </w:p>
    <w:p>
      <w:pPr>
        <w:pStyle w:val="FirstParagraph"/>
      </w:pPr>
      <w:r>
        <w:t xml:space="preserve">This isn’t blame — it’s context. Several of these blockers are listed in</w:t>
      </w:r>
      <w:r>
        <w:t xml:space="preserve"> </w:t>
      </w:r>
      <w:r>
        <w:rPr>
          <w:rStyle w:val="VerbatimChar"/>
        </w:rPr>
        <w:t xml:space="preserve">docs/CARR_MONTH_THREE_REVIEW.md</w:t>
      </w:r>
      <w:r>
        <w:t xml:space="preserve"> </w:t>
      </w:r>
      <w:r>
        <w:t xml:space="preserve">§7 as carried-from-Month-2 items. The work that was built worked around them; the work that’s stalled needs them.</w:t>
      </w:r>
    </w:p>
    <w:p>
      <w:r>
        <w:pict>
          <v:rect style="width:0;height:1.5pt" o:hralign="center" o:hrstd="t" o:hr="t"/>
        </w:pict>
      </w:r>
    </w:p>
    <w:bookmarkEnd w:id="15"/>
    <w:bookmarkEnd w:id="16"/>
    <w:bookmarkStart w:id="17" w:name="how-this-is-meant-to-be-used"/>
    <w:p>
      <w:pPr>
        <w:pStyle w:val="Heading2"/>
      </w:pPr>
      <w:r>
        <w:t xml:space="preserve">How this is meant to be used</w:t>
      </w:r>
    </w:p>
    <w:p>
      <w:pPr>
        <w:pStyle w:val="Compact"/>
        <w:numPr>
          <w:ilvl w:val="0"/>
          <w:numId w:val="1005"/>
        </w:numPr>
      </w:pPr>
      <w:r>
        <w:rPr>
          <w:b/>
          <w:bCs/>
        </w:rPr>
        <w:t xml:space="preserve">Today’s meeting (May 14):</w:t>
      </w:r>
      <w:r>
        <w:t xml:space="preserve"> </w:t>
      </w:r>
      <w:r>
        <w:t xml:space="preserve">Walk top-to-bottom, file by file, ~10 min per layer. Pause where it’s most useful.</w:t>
      </w:r>
    </w:p>
    <w:p>
      <w:pPr>
        <w:pStyle w:val="Compact"/>
        <w:numPr>
          <w:ilvl w:val="0"/>
          <w:numId w:val="1005"/>
        </w:numPr>
      </w:pPr>
      <w:r>
        <w:rPr>
          <w:b/>
          <w:bCs/>
        </w:rPr>
        <w:t xml:space="preserve">Going forward:</w:t>
      </w:r>
      <w:r>
        <w:t xml:space="preserve"> </w:t>
      </w:r>
      <w:r>
        <w:t xml:space="preserve">Treat each file as the canonical reference for that layer. When something in the UX feels broken, pull the matching file to see what’s underneath, then triage with the right context.</w:t>
      </w:r>
    </w:p>
    <w:p>
      <w:pPr>
        <w:pStyle w:val="Compact"/>
        <w:numPr>
          <w:ilvl w:val="0"/>
          <w:numId w:val="1005"/>
        </w:numPr>
      </w:pPr>
      <w:r>
        <w:rPr>
          <w:b/>
          <w:bCs/>
        </w:rPr>
        <w:t xml:space="preserve">For Jake’s own learning:</w:t>
      </w:r>
      <w:r>
        <w:t xml:space="preserve"> </w:t>
      </w:r>
      <w:r>
        <w:t xml:space="preserve">Sections 03–08 are the data engineering and AI structure layers — the same patterns you’d build into the Azure environment you discussed with John Katsapis. The patterns transfer; the stack choice is yours.</w:t>
      </w:r>
    </w:p>
    <w:p>
      <w:r>
        <w:pict>
          <v:rect style="width:0;height:1.5pt" o:hralign="center" o:hrstd="t" o:hr="t"/>
        </w:pict>
      </w:r>
    </w:p>
    <w:bookmarkEnd w:id="17"/>
    <w:bookmarkStart w:id="18" w:name="cross-references"/>
    <w:p>
      <w:pPr>
        <w:pStyle w:val="Heading2"/>
      </w:pPr>
      <w:r>
        <w:t xml:space="preserve">Cross-references</w:t>
      </w:r>
    </w:p>
    <w:p>
      <w:pPr>
        <w:pStyle w:val="Compact"/>
        <w:numPr>
          <w:ilvl w:val="0"/>
          <w:numId w:val="1006"/>
        </w:numPr>
      </w:pPr>
      <w:r>
        <w:rPr>
          <w:rStyle w:val="VerbatimChar"/>
        </w:rPr>
        <w:t xml:space="preserve">docs/CARR_SYSTEM_OVERVIEW.md</w:t>
      </w:r>
      <w:r>
        <w:t xml:space="preserve"> </w:t>
      </w:r>
      <w:r>
        <w:t xml:space="preserve">v3.5 — the platform overview written for CARR leadership; this package goes deeper on the layers underneath</w:t>
      </w:r>
    </w:p>
    <w:p>
      <w:pPr>
        <w:pStyle w:val="Compact"/>
        <w:numPr>
          <w:ilvl w:val="0"/>
          <w:numId w:val="1006"/>
        </w:numPr>
      </w:pPr>
      <w:r>
        <w:rPr>
          <w:rStyle w:val="VerbatimChar"/>
        </w:rPr>
        <w:t xml:space="preserve">docs/CARR_MONTH_THREE_REVIEW.md</w:t>
      </w:r>
      <w:r>
        <w:t xml:space="preserve"> </w:t>
      </w:r>
      <w:r>
        <w:t xml:space="preserve">— honest Month 1–3 assessment, SOW vs delivered</w:t>
      </w:r>
    </w:p>
    <w:p>
      <w:pPr>
        <w:pStyle w:val="Compact"/>
        <w:numPr>
          <w:ilvl w:val="0"/>
          <w:numId w:val="1006"/>
        </w:numPr>
      </w:pPr>
      <w:r>
        <w:rPr>
          <w:rStyle w:val="VerbatimChar"/>
        </w:rPr>
        <w:t xml:space="preserve">docs/CARR_MONTH_FOUR_PLUS_ROADMAP.md</w:t>
      </w:r>
      <w:r>
        <w:t xml:space="preserve"> </w:t>
      </w:r>
      <w:r>
        <w:t xml:space="preserve">— three forward options (VPS build / scale current / Azure migration)</w:t>
      </w:r>
    </w:p>
    <w:p>
      <w:pPr>
        <w:pStyle w:val="Compact"/>
        <w:numPr>
          <w:ilvl w:val="0"/>
          <w:numId w:val="1006"/>
        </w:numPr>
      </w:pPr>
      <w:r>
        <w:rPr>
          <w:rStyle w:val="VerbatimChar"/>
        </w:rPr>
        <w:t xml:space="preserve">EMAILBISON_MODULE.md</w:t>
      </w:r>
      <w:r>
        <w:t xml:space="preserve">,</w:t>
      </w:r>
      <w:r>
        <w:t xml:space="preserve"> </w:t>
      </w:r>
      <w:r>
        <w:rPr>
          <w:rStyle w:val="VerbatimChar"/>
        </w:rPr>
        <w:t xml:space="preserve">docs/runbooks/heyreach.md</w:t>
      </w:r>
      <w:r>
        <w:t xml:space="preserve">,</w:t>
      </w:r>
      <w:r>
        <w:t xml:space="preserve"> </w:t>
      </w:r>
      <w:r>
        <w:rPr>
          <w:rStyle w:val="VerbatimChar"/>
        </w:rPr>
        <w:t xml:space="preserve">docs/runbooks/emailbison.md</w:t>
      </w:r>
      <w:r>
        <w:t xml:space="preserve"> </w:t>
      </w:r>
      <w:r>
        <w:t xml:space="preserve">— operational runbooks</w:t>
      </w:r>
    </w:p>
    <w:p>
      <w:pPr>
        <w:pStyle w:val="Compact"/>
        <w:numPr>
          <w:ilvl w:val="0"/>
          <w:numId w:val="1006"/>
        </w:numPr>
      </w:pPr>
      <w:r>
        <w:rPr>
          <w:rStyle w:val="VerbatimChar"/>
        </w:rPr>
        <w:t xml:space="preserve">docs/SSO_MATRIX_DEEP_DIVE_2026-05-11.md</w:t>
      </w:r>
      <w:r>
        <w:t xml:space="preserve"> </w:t>
      </w:r>
      <w:r>
        <w:t xml:space="preserve">— canonical messaging system audit</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Value Package - Index</dc:title>
  <dc:creator>BioCreative Strategies; Prepared for CARR Biosystems (Barry-Wehmiller)</dc:creator>
  <cp:keywords/>
  <dcterms:created xsi:type="dcterms:W3CDTF">2026-07-22T01:52:23Z</dcterms:created>
  <dcterms:modified xsi:type="dcterms:W3CDTF">2026-07-22T01:52:23Z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July 21, 2026</vt:lpwstr>
  </property>
</Properties>
</file>