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Microsoft Foundry &amp; Agents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16" w:name="microsoft-foundry-agents"/>
    <w:p>
      <w:pPr>
        <w:pStyle w:val="Heading1"/>
      </w:pPr>
      <w:r>
        <w:t xml:space="preserve">02 — Microsoft Foundry + Agents</w:t>
      </w:r>
    </w:p>
    <w:p>
      <w:pPr>
        <w:pStyle w:val="BlockText"/>
      </w:pPr>
      <w:r>
        <w:t xml:space="preserve">Deep-research synthesis on Microsoft Foundry + agents. Azure AI features move monthly — GA/preview tags are point-in-time (2026-06-17).</w:t>
      </w:r>
      <w:r>
        <w:t xml:space="preserve"> </w:t>
      </w:r>
      <w:r>
        <w:rPr>
          <w:b/>
          <w:bCs/>
        </w:rPr>
        <w:t xml:space="preserve">Triggers:</w:t>
      </w:r>
      <w:r>
        <w:t xml:space="preserve"> </w:t>
      </w:r>
      <w:r>
        <w:t xml:space="preserve">“microsoft foundry”</w:t>
      </w:r>
      <w:r>
        <w:t xml:space="preserve">,</w:t>
      </w:r>
      <w:r>
        <w:t xml:space="preserve"> </w:t>
      </w:r>
      <w:r>
        <w:t xml:space="preserve">“azure ai foundry”</w:t>
      </w:r>
      <w:r>
        <w:t xml:space="preserve">,</w:t>
      </w:r>
      <w:r>
        <w:t xml:space="preserve"> </w:t>
      </w:r>
      <w:r>
        <w:t xml:space="preserve">“foundry agent service”</w:t>
      </w:r>
      <w:r>
        <w:t xml:space="preserve">,</w:t>
      </w:r>
      <w:r>
        <w:t xml:space="preserve"> </w:t>
      </w:r>
      <w:r>
        <w:t xml:space="preserve">“entra agent id”</w:t>
      </w:r>
      <w:r>
        <w:t xml:space="preserve">,</w:t>
      </w:r>
      <w:r>
        <w:t xml:space="preserve"> </w:t>
      </w:r>
      <w:r>
        <w:t xml:space="preserve">“model router”</w:t>
      </w:r>
      <w:r>
        <w:t xml:space="preserve">,</w:t>
      </w:r>
      <w:r>
        <w:t xml:space="preserve"> </w:t>
      </w:r>
      <w:r>
        <w:t xml:space="preserve">“foundry iq”</w:t>
      </w:r>
      <w:r>
        <w:t xml:space="preserve">.</w:t>
      </w:r>
    </w:p>
    <w:bookmarkStart w:id="9" w:name="naming-kill-the-confusion"/>
    <w:p>
      <w:pPr>
        <w:pStyle w:val="Heading2"/>
      </w:pPr>
      <w:r>
        <w:t xml:space="preserve">Naming (kill the confusion)</w:t>
      </w:r>
    </w:p>
    <w:p>
      <w:pPr>
        <w:pStyle w:val="FirstParagraph"/>
      </w:pPr>
      <w:r>
        <w:t xml:space="preserve">Azure AI Studio (2023) → Azure AI Foundry (2024) →</w:t>
      </w:r>
      <w:r>
        <w:t xml:space="preserve"> </w:t>
      </w:r>
      <w:r>
        <w:rPr>
          <w:b/>
          <w:bCs/>
        </w:rPr>
        <w:t xml:space="preserve">Microsoft Foundry</w:t>
      </w:r>
      <w:r>
        <w:t xml:space="preserve"> </w:t>
      </w:r>
      <w:r>
        <w:t xml:space="preserve">(the</w:t>
      </w:r>
      <w:r>
        <w:t xml:space="preserve"> </w:t>
      </w:r>
      <w:r>
        <w:t xml:space="preserve">“Azure”</w:t>
      </w:r>
      <w:r>
        <w:t xml:space="preserve"> </w:t>
      </w:r>
      <w:r>
        <w:t xml:space="preserve">prefix dropped Jan 1 2026). Stale docs will use all three. It’s</w:t>
      </w:r>
      <w:r>
        <w:t xml:space="preserve"> </w:t>
      </w:r>
      <w:r>
        <w:t xml:space="preserve">“an AI app and agent factory.”</w:t>
      </w:r>
    </w:p>
    <w:bookmarkEnd w:id="9"/>
    <w:bookmarkStart w:id="10" w:name="X003de6c38f0ce0f14ed40c41924936782627fda"/>
    <w:p>
      <w:pPr>
        <w:pStyle w:val="Heading2"/>
      </w:pPr>
      <w:r>
        <w:t xml:space="preserve">GA vs preview (2026) — read this before promising timelines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GA:</w:t>
      </w:r>
      <w:r>
        <w:t xml:space="preserve"> </w:t>
      </w:r>
      <w:r>
        <w:t xml:space="preserve">Foundry</w:t>
      </w:r>
      <w:r>
        <w:t xml:space="preserve"> </w:t>
      </w:r>
      <w:r>
        <w:rPr>
          <w:b/>
          <w:bCs/>
        </w:rPr>
        <w:t xml:space="preserve">Agent Service</w:t>
      </w:r>
      <w:r>
        <w:t xml:space="preserve"> </w:t>
      </w:r>
      <w:r>
        <w:t xml:space="preserve">(GA</w:t>
      </w:r>
      <w:r>
        <w:t xml:space="preserve"> </w:t>
      </w:r>
      <w:r>
        <w:rPr>
          <w:b/>
          <w:bCs/>
        </w:rPr>
        <w:t xml:space="preserve">March 16 2026</w:t>
      </w:r>
      <w:r>
        <w:t xml:space="preserve">, Responses API runtime, OpenAI-wire-compatible) · end-to-end VNet/private networking · Foundry Evaluations &amp; observability · Microsoft Agent Framework SDKs v2 (Python/JS/Java) · Model Router · Foundry IQ.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Preview:</w:t>
      </w:r>
      <w:r>
        <w:t xml:space="preserve"> </w:t>
      </w:r>
      <w:r>
        <w:t xml:space="preserve">Agent</w:t>
      </w:r>
      <w:r>
        <w:t xml:space="preserve"> </w:t>
      </w:r>
      <w:r>
        <w:rPr>
          <w:b/>
          <w:bCs/>
        </w:rPr>
        <w:t xml:space="preserve">memory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Agent-to-Agent (A2A)</w:t>
      </w:r>
      <w:r>
        <w:t xml:space="preserve"> </w:t>
      </w:r>
      <w:r>
        <w:t xml:space="preserve">orchestration · Agent Routines (scheduled agents) · Voice Live · custom evaluators/red-teaming.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Hard deprecation:</w:t>
      </w:r>
      <w:r>
        <w:t xml:space="preserve"> </w:t>
      </w:r>
      <w:r>
        <w:t xml:space="preserve">Azure OpenAI</w:t>
      </w:r>
      <w:r>
        <w:t xml:space="preserve"> </w:t>
      </w:r>
      <w:r>
        <w:rPr>
          <w:b/>
          <w:bCs/>
        </w:rPr>
        <w:t xml:space="preserve">Assistants API retires Aug 26 2026</w:t>
      </w:r>
      <w:r>
        <w:t xml:space="preserve"> </w:t>
      </w:r>
      <w:r>
        <w:t xml:space="preserve">→ build only on Foundry Agent Service. (Audit any prototype for Assistants API use.)</w:t>
      </w:r>
    </w:p>
    <w:bookmarkEnd w:id="10"/>
    <w:bookmarkStart w:id="11" w:name="core-components"/>
    <w:p>
      <w:pPr>
        <w:pStyle w:val="Heading2"/>
      </w:pPr>
      <w:r>
        <w:t xml:space="preserve">Core components</w:t>
      </w:r>
    </w:p>
    <w:p>
      <w:pPr>
        <w:pStyle w:val="FirstParagraph"/>
      </w:pPr>
      <w:r>
        <w:t xml:space="preserve">Model Catalog (11,000+ models) · Agent Service (runtime) · Foundry Tools (unified endpoint incl. </w:t>
      </w:r>
      <w:r>
        <w:rPr>
          <w:b/>
          <w:bCs/>
        </w:rPr>
        <w:t xml:space="preserve">MCP client support</w:t>
      </w:r>
      <w:r>
        <w:t xml:space="preserve">) ·</w:t>
      </w:r>
      <w:r>
        <w:t xml:space="preserve"> </w:t>
      </w:r>
      <w:r>
        <w:rPr>
          <w:b/>
          <w:bCs/>
        </w:rPr>
        <w:t xml:space="preserve">Foundry IQ</w:t>
      </w:r>
      <w:r>
        <w:t xml:space="preserve"> </w:t>
      </w:r>
      <w:r>
        <w:t xml:space="preserve">(managed agentic RAG, the evolution of Azure AI Search) · Foundry Control Plane (governance/observability).</w:t>
      </w:r>
      <w:r>
        <w:t xml:space="preserve"> </w:t>
      </w:r>
      <w:r>
        <w:rPr>
          <w:b/>
          <w:bCs/>
        </w:rPr>
        <w:t xml:space="preserve">Entra Agent ID</w:t>
      </w:r>
      <w:r>
        <w:t xml:space="preserve"> </w:t>
      </w:r>
      <w:r>
        <w:t xml:space="preserve">gives each agent its own non-human identity under Zero Trust (huge for BW governance).</w:t>
      </w:r>
    </w:p>
    <w:bookmarkEnd w:id="11"/>
    <w:bookmarkStart w:id="12" w:name="X6aa457b9f7da212575e3f3ffe9d7efb651710d1"/>
    <w:p>
      <w:pPr>
        <w:pStyle w:val="Heading2"/>
      </w:pPr>
      <w:r>
        <w:t xml:space="preserve">How common AI-app building blocks map to Foundry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Building block</w:t>
            </w:r>
          </w:p>
        </w:tc>
        <w:tc>
          <w:tcPr/>
          <w:p>
            <w:pPr>
              <w:pStyle w:val="Compact"/>
            </w:pPr>
            <w:r>
              <w:t xml:space="preserve">Foundry primitive</w:t>
            </w:r>
          </w:p>
        </w:tc>
        <w:tc>
          <w:tcPr/>
          <w:p>
            <w:pPr>
              <w:pStyle w:val="Compact"/>
            </w:pPr>
            <w:r>
              <w:t xml:space="preserve">Note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Multi-provider model proxy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Model Router</w:t>
            </w:r>
          </w:p>
        </w:tc>
        <w:tc>
          <w:tcPr/>
          <w:p>
            <w:pPr>
              <w:pStyle w:val="Compact"/>
            </w:pPr>
            <w:r>
              <w:t xml:space="preserve">One endpoint across providers; +$0.14/M input tokens infra fee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Agent framework</w:t>
            </w:r>
          </w:p>
        </w:tc>
        <w:tc>
          <w:tcPr/>
          <w:p>
            <w:pPr>
              <w:pStyle w:val="Compact"/>
            </w:pPr>
            <w:r>
              <w:t xml:space="preserve">Microsoft Agent Framework /</w:t>
            </w:r>
            <w:r>
              <w:t xml:space="preserve"> </w:t>
            </w:r>
            <w:r>
              <w:rPr>
                <w:b/>
                <w:bCs/>
              </w:rPr>
              <w:t xml:space="preserve">LangGraph on Hosted Agents</w:t>
            </w:r>
          </w:p>
        </w:tc>
        <w:tc>
          <w:tcPr/>
          <w:p>
            <w:pPr>
              <w:pStyle w:val="Compact"/>
            </w:pPr>
            <w:r>
              <w:t xml:space="preserve">Gains Entra ID + tracing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RAG over Postgres + pgvector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Foundry IQ</w:t>
            </w:r>
          </w:p>
        </w:tc>
        <w:tc>
          <w:tcPr/>
          <w:p>
            <w:pPr>
              <w:pStyle w:val="Compact"/>
            </w:pPr>
            <w:r>
              <w:t xml:space="preserve">Managed agentic RAG (or keep pgvector on the database)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Agent memory</w:t>
            </w:r>
          </w:p>
        </w:tc>
        <w:tc>
          <w:tcPr/>
          <w:p>
            <w:pPr>
              <w:pStyle w:val="Compact"/>
            </w:pPr>
            <w:r>
              <w:t xml:space="preserve">Foundry Agent</w:t>
            </w:r>
            <w:r>
              <w:t xml:space="preserve"> </w:t>
            </w:r>
            <w:r>
              <w:rPr>
                <w:b/>
                <w:bCs/>
              </w:rPr>
              <w:t xml:space="preserve">Memory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preview</w:t>
            </w:r>
            <w:r>
              <w:t xml:space="preserve"> </w:t>
            </w:r>
            <w:r>
              <w:t xml:space="preserve">— don’t depend on yet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Workflow automation (e.g. n8n)</w:t>
            </w:r>
          </w:p>
        </w:tc>
        <w:tc>
          <w:tcPr/>
          <w:p>
            <w:pPr>
              <w:pStyle w:val="Compact"/>
            </w:pPr>
            <w:r>
              <w:t xml:space="preserve">Azure</w:t>
            </w:r>
            <w:r>
              <w:t xml:space="preserve"> </w:t>
            </w:r>
            <w:r>
              <w:rPr>
                <w:b/>
                <w:bCs/>
              </w:rPr>
              <w:t xml:space="preserve">Logic Apps</w:t>
            </w:r>
          </w:p>
        </w:tc>
        <w:tc>
          <w:tcPr/>
          <w:p>
            <w:pPr>
              <w:pStyle w:val="Compact"/>
            </w:pPr>
            <w:r>
              <w:t xml:space="preserve">1,400+ connectors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Multi-step agent DAG</w:t>
            </w:r>
          </w:p>
        </w:tc>
        <w:tc>
          <w:tcPr/>
          <w:p>
            <w:pPr>
              <w:pStyle w:val="Compact"/>
            </w:pPr>
            <w:r>
              <w:t xml:space="preserve">Foundry multi-agent workflows</w:t>
            </w:r>
          </w:p>
        </w:tc>
        <w:tc>
          <w:tcPr/>
          <w:p>
            <w:pPr>
              <w:pStyle w:val="Compact"/>
            </w:pPr>
            <w:r>
              <w:t xml:space="preserve">Native orchestration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Sub-agent / multi-agent orchestration</w:t>
            </w:r>
          </w:p>
        </w:tc>
        <w:tc>
          <w:tcPr/>
          <w:p>
            <w:pPr>
              <w:pStyle w:val="Compact"/>
            </w:pPr>
            <w:r>
              <w:t xml:space="preserve">Connected Agents /</w:t>
            </w:r>
            <w:r>
              <w:t xml:space="preserve"> </w:t>
            </w:r>
            <w:r>
              <w:rPr>
                <w:b/>
                <w:bCs/>
              </w:rPr>
              <w:t xml:space="preserve">A2A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preview</w:t>
            </w:r>
            <w:r>
              <w:t xml:space="preserve"> </w:t>
            </w:r>
            <w:r>
              <w:t xml:space="preserve">— orchestrate via LangGraph for GA reliability</w:t>
            </w:r>
          </w:p>
        </w:tc>
      </w:tr>
    </w:tbl>
    <w:bookmarkEnd w:id="12"/>
    <w:bookmarkStart w:id="13" w:name="recommendation"/>
    <w:p>
      <w:pPr>
        <w:pStyle w:val="Heading2"/>
      </w:pPr>
      <w:r>
        <w:t xml:space="preserve">Recommendation</w:t>
      </w:r>
    </w:p>
    <w:p>
      <w:pPr>
        <w:pStyle w:val="FirstParagraph"/>
      </w:pPr>
      <w:r>
        <w:rPr>
          <w:b/>
          <w:bCs/>
        </w:rPr>
        <w:t xml:space="preserve">Hybrid:</w:t>
      </w:r>
      <w:r>
        <w:t xml:space="preserve"> </w:t>
      </w:r>
      <w:r>
        <w:t xml:space="preserve">use Foundry for infrastructure, identity (Entra Agent ID), VNet, observability, and the</w:t>
      </w:r>
      <w:r>
        <w:t xml:space="preserve"> </w:t>
      </w:r>
      <w:r>
        <w:rPr>
          <w:b/>
          <w:bCs/>
        </w:rPr>
        <w:t xml:space="preserve">Model Router</w:t>
      </w:r>
      <w:r>
        <w:t xml:space="preserve"> </w:t>
      </w:r>
      <w:r>
        <w:t xml:space="preserve">— but write agent</w:t>
      </w:r>
      <w:r>
        <w:t xml:space="preserve"> </w:t>
      </w:r>
      <w:r>
        <w:rPr>
          <w:i/>
          <w:iCs/>
        </w:rPr>
        <w:t xml:space="preserve">logic</w:t>
      </w:r>
      <w:r>
        <w:t xml:space="preserve"> </w:t>
      </w:r>
      <w:r>
        <w:t xml:space="preserve">in a portable framework (</w:t>
      </w:r>
      <w:r>
        <w:rPr>
          <w:b/>
          <w:bCs/>
        </w:rPr>
        <w:t xml:space="preserve">LangGraph</w:t>
      </w:r>
      <w:r>
        <w:t xml:space="preserve">) on Foundry Hosted Agents. Maximizes Azure’s enterprise features while limiting control-plane lock-in.</w:t>
      </w:r>
      <w:r>
        <w:t xml:space="preserve"> </w:t>
      </w:r>
      <w:r>
        <w:rPr>
          <w:b/>
          <w:bCs/>
        </w:rPr>
        <w:t xml:space="preserve">Do NOT</w:t>
      </w:r>
      <w:r>
        <w:t xml:space="preserve"> </w:t>
      </w:r>
      <w:r>
        <w:t xml:space="preserve">build mission-critical multi-agent flows on the A2A preview yet.</w:t>
      </w:r>
    </w:p>
    <w:bookmarkEnd w:id="13"/>
    <w:bookmarkStart w:id="14" w:name="cost-drivers"/>
    <w:p>
      <w:pPr>
        <w:pStyle w:val="Heading2"/>
      </w:pPr>
      <w:r>
        <w:t xml:space="preserve">Cost drivers</w:t>
      </w:r>
    </w:p>
    <w:p>
      <w:pPr>
        <w:pStyle w:val="FirstParagraph"/>
      </w:pPr>
      <w:r>
        <w:t xml:space="preserve">Model tokens + Model Router fee ($0.14/M in) + Hosted Agents compute (scale-to-zero) + Foundry Memory + Foundry IQ indexing + observability storage. For CARR (daily briefs, transcription) the Model Router routing routine work to mini/Haiku-tier models is the main lever.</w:t>
      </w:r>
    </w:p>
    <w:bookmarkEnd w:id="14"/>
    <w:bookmarkStart w:id="15" w:name="why-this-matters-for-carrbw"/>
    <w:p>
      <w:pPr>
        <w:pStyle w:val="Heading2"/>
      </w:pPr>
      <w:r>
        <w:t xml:space="preserve">Why this matters for CARR/BW</w:t>
      </w:r>
    </w:p>
    <w:p>
      <w:pPr>
        <w:pStyle w:val="FirstParagraph"/>
      </w:pPr>
      <w:r>
        <w:t xml:space="preserve">This is the surface BW’s incoming</w:t>
      </w:r>
      <w:r>
        <w:t xml:space="preserve"> </w:t>
      </w:r>
      <w:r>
        <w:t xml:space="preserve">“AI architects”</w:t>
      </w:r>
      <w:r>
        <w:t xml:space="preserve"> </w:t>
      </w:r>
      <w:r>
        <w:t xml:space="preserve">will standardize on. Pairs cleanly with the data tier (</w:t>
      </w:r>
      <w:r>
        <w:rPr>
          <w:rStyle w:val="VerbatimChar"/>
        </w:rPr>
        <w:t xml:space="preserve">01_data_layer.md</w:t>
      </w:r>
      <w:r>
        <w:t xml:space="preserve">): once the data is in Azure (+ optional pgvector or Foundry IQ), CARR’s daily-brief/content agents can run on Foundry with enterprise identity + audit.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Foundry &amp; Agents</dc:title>
  <dc:creator>BioCreative Strategies; Prepared for CARR Biosystems (Barry-Wehmiller)</dc:creator>
  <cp:keywords/>
  <dcterms:created xsi:type="dcterms:W3CDTF">2026-07-22T01:52:22Z</dcterms:created>
  <dcterms:modified xsi:type="dcterms:W3CDTF">2026-07-22T01:52:22Z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