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 Intelligence &amp; Brand Layer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19" w:name="market-intelligence-brand-layer"/>
    <w:p>
      <w:pPr>
        <w:pStyle w:val="Heading1"/>
      </w:pPr>
      <w:r>
        <w:t xml:space="preserve">02 — Market Intelligence &amp; Brand Layer</w:t>
      </w:r>
    </w:p>
    <w:p>
      <w:pPr>
        <w:pStyle w:val="BlockText"/>
      </w:pPr>
      <w:r>
        <w:rPr>
          <w:b/>
          <w:bCs/>
        </w:rPr>
        <w:t xml:space="preserve">Parent:</w:t>
      </w:r>
      <w:r>
        <w:t xml:space="preserve"> </w:t>
      </w:r>
      <w:r>
        <w:rPr>
          <w:rStyle w:val="VerbatimChar"/>
        </w:rPr>
        <w:t xml:space="preserve">00_INDEX.md</w:t>
      </w:r>
      <w:r>
        <w:t xml:space="preserve"> </w:t>
      </w:r>
      <w:r>
        <w:t xml:space="preserve">·</w:t>
      </w:r>
      <w:r>
        <w:t xml:space="preserve"> </w:t>
      </w:r>
      <w:r>
        <w:rPr>
          <w:b/>
          <w:bCs/>
        </w:rPr>
        <w:t xml:space="preserve">Reading time:</w:t>
      </w:r>
      <w:r>
        <w:t xml:space="preserve"> </w:t>
      </w:r>
      <w:r>
        <w:t xml:space="preserve">6 min</w:t>
      </w:r>
    </w:p>
    <w:p>
      <w:pPr>
        <w:pStyle w:val="FirstParagraph"/>
      </w:pPr>
      <w:r>
        <w:t xml:space="preserve">The first thing the system does before sending a single message is decide</w:t>
      </w:r>
      <w:r>
        <w:t xml:space="preserve"> </w:t>
      </w:r>
      <w:r>
        <w:rPr>
          <w:i/>
          <w:iCs/>
        </w:rPr>
        <w:t xml:space="preserve">what CARR sounds like</w:t>
      </w:r>
      <w:r>
        <w:t xml:space="preserve">. This is the brand/positioning/voice layer — sourced from CARR’s own materials, distilled into machine-readable form, and injected into every AI-generated piece of content downstream.</w:t>
      </w:r>
    </w:p>
    <w:p>
      <w:r>
        <w:pict>
          <v:rect style="width:0;height:1.5pt" o:hralign="center" o:hrstd="t" o:hr="t"/>
        </w:pict>
      </w:r>
    </w:p>
    <w:bookmarkStart w:id="12" w:name="what-was-built"/>
    <w:p>
      <w:pPr>
        <w:pStyle w:val="Heading2"/>
      </w:pPr>
      <w:r>
        <w:t xml:space="preserve">What was built</w:t>
      </w:r>
    </w:p>
    <w:bookmarkStart w:id="9" w:name="master-reference-documents-in-repo"/>
    <w:p>
      <w:pPr>
        <w:pStyle w:val="Heading3"/>
      </w:pPr>
      <w:r>
        <w:t xml:space="preserve">Master reference documents (in repo)</w:t>
      </w:r>
    </w:p>
    <w:p>
      <w:pPr>
        <w:pStyle w:val="FirstParagraph"/>
      </w:pPr>
      <w:r>
        <w:t xml:space="preserve">Four canonical docs that any AI generation pulls from: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File</w:t>
            </w:r>
          </w:p>
        </w:tc>
        <w:tc>
          <w:tcPr/>
          <w:p>
            <w:pPr>
              <w:pStyle w:val="Compact"/>
            </w:pPr>
            <w:r>
              <w:t xml:space="preserve">What it captures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Research/CARR_BRAND_BIBLE.md</w:t>
            </w:r>
          </w:p>
        </w:tc>
        <w:tc>
          <w:tcPr/>
          <w:p>
            <w:pPr>
              <w:pStyle w:val="Compact"/>
            </w:pPr>
            <w:r>
              <w:t xml:space="preserve">Identity, values, positioning, target audience, brand archetype, tone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Research/CARR_MASTER_BRAND_VOICE.md</w:t>
            </w:r>
          </w:p>
        </w:tc>
        <w:tc>
          <w:tcPr/>
          <w:p>
            <w:pPr>
              <w:pStyle w:val="Compact"/>
            </w:pPr>
            <w:r>
              <w:t xml:space="preserve">Voice attributes, vocabulary (preferred + banned), sentence patterns, tone-by-audience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Research/CARR_MASTER_DESIGN.md</w:t>
            </w:r>
          </w:p>
        </w:tc>
        <w:tc>
          <w:tcPr/>
          <w:p>
            <w:pPr>
              <w:pStyle w:val="Compact"/>
            </w:pPr>
            <w:r>
              <w:t xml:space="preserve">Visual system, colors, typography, design principles (for landing pages + image gen)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Research/CARR_LANDING_PAGES.md</w:t>
            </w:r>
          </w:p>
        </w:tc>
        <w:tc>
          <w:tcPr/>
          <w:p>
            <w:pPr>
              <w:pStyle w:val="Compact"/>
            </w:pPr>
            <w:r>
              <w:t xml:space="preserve">Landing-page architecture, content patterns, hero-section templates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Research/Carr BioSystems/CARR_MESSAGING_POSITIONING_REVIEW.md</w:t>
            </w:r>
          </w:p>
        </w:tc>
        <w:tc>
          <w:tcPr/>
          <w:p>
            <w:pPr>
              <w:pStyle w:val="Compact"/>
            </w:pPr>
            <w:r>
              <w:t xml:space="preserve">Living positioning doc — 42 KB markdown version of Jake’s April 2 edits</w:t>
            </w:r>
          </w:p>
        </w:tc>
      </w:tr>
    </w:tbl>
    <w:bookmarkEnd w:id="9"/>
    <w:bookmarkStart w:id="10" w:name="deep-research-corpus-30-documents"/>
    <w:p>
      <w:pPr>
        <w:pStyle w:val="Heading3"/>
      </w:pPr>
      <w:r>
        <w:t xml:space="preserve">Deep research corpus (30 documents)</w:t>
      </w:r>
    </w:p>
    <w:p>
      <w:pPr>
        <w:pStyle w:val="FirstParagraph"/>
      </w:pPr>
      <w:r>
        <w:t xml:space="preserve">In</w:t>
      </w:r>
      <w:r>
        <w:t xml:space="preserve"> </w:t>
      </w:r>
      <w:r>
        <w:rPr>
          <w:rStyle w:val="VerbatimChar"/>
        </w:rPr>
        <w:t xml:space="preserve">Research/Carr BioSystems/</w:t>
      </w:r>
      <w:r>
        <w:t xml:space="preserve">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Core Positioning Docs/</w:t>
      </w:r>
      <w:r>
        <w:t xml:space="preserve"> </w:t>
      </w:r>
      <w:r>
        <w:t xml:space="preserve">(12 items) — Distilled from CARR’s 8 PPTX decks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Deep Research Docs/</w:t>
      </w:r>
      <w:r>
        <w:t xml:space="preserve"> </w:t>
      </w:r>
      <w:r>
        <w:t xml:space="preserve">(12 items) — Industry-level research (CGT market structure, separation tech competitive landscape, modality-specific trends, Path-to-Patients framing)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Domain Documents/</w:t>
      </w:r>
      <w:r>
        <w:t xml:space="preserve"> </w:t>
      </w:r>
      <w:r>
        <w:t xml:space="preserve">(6 items) — Domain-specific reference (allogeneic, iPSC, scalability, cell processing platform, etc.)</w:t>
      </w:r>
    </w:p>
    <w:bookmarkEnd w:id="10"/>
    <w:bookmarkStart w:id="11" w:name="source-materials-processed"/>
    <w:p>
      <w:pPr>
        <w:pStyle w:val="Heading3"/>
      </w:pPr>
      <w:r>
        <w:t xml:space="preserve">Source materials processed</w:t>
      </w:r>
    </w:p>
    <w:p>
      <w:pPr>
        <w:pStyle w:val="FirstParagraph"/>
      </w:pPr>
      <w:r>
        <w:t xml:space="preserve">To produce the above, we processed: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Full Firecrawl scrape of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carrbiosystems.com</w:t>
      </w:r>
      <w:r>
        <w:t xml:space="preserve"> </w:t>
      </w:r>
      <w:r>
        <w:t xml:space="preserve">— 44 pages, raw HTML + branding extraction, stored as</w:t>
      </w:r>
      <w:r>
        <w:t xml:space="preserve"> </w:t>
      </w:r>
      <w:r>
        <w:rPr>
          <w:rStyle w:val="VerbatimChar"/>
        </w:rPr>
        <w:t xml:space="preserve">Research/scrape_data/all_pages.json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homepage_html.html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8 PPTX positioning decks</w:t>
      </w:r>
      <w:r>
        <w:t xml:space="preserve"> </w:t>
      </w:r>
      <w:r>
        <w:t xml:space="preserve">— provided via SharePoint, transcribed to text, fed into research synthesis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10 meeting transcripts</w:t>
      </w:r>
      <w:r>
        <w:t xml:space="preserve"> </w:t>
      </w:r>
      <w:r>
        <w:t xml:space="preserve">— RAG-indexed in the Hub Knowledge Base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2 video assets</w:t>
      </w:r>
      <w:r>
        <w:t xml:space="preserve"> </w:t>
      </w:r>
      <w:r>
        <w:t xml:space="preserve">— UniFuge Centrifuges multitools and UF Pilot Animation (transcribed in</w:t>
      </w:r>
      <w:r>
        <w:t xml:space="preserve"> </w:t>
      </w:r>
      <w:r>
        <w:rPr>
          <w:rStyle w:val="VerbatimChar"/>
        </w:rPr>
        <w:t xml:space="preserve">Research/video_transcripts/</w:t>
      </w:r>
      <w:r>
        <w:t xml:space="preserve">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CARR_MESSAGING_POSITIONING_REVIEW_JA Input 20260402.docx</w:t>
      </w:r>
      <w:r>
        <w:t xml:space="preserve"> </w:t>
      </w:r>
      <w:r>
        <w:t xml:space="preserve">— Jake’s only formal positioning edit</w:t>
      </w:r>
    </w:p>
    <w:p>
      <w:r>
        <w:pict>
          <v:rect style="width:0;height:1.5pt" o:hralign="center" o:hrstd="t" o:hr="t"/>
        </w:pict>
      </w:r>
    </w:p>
    <w:bookmarkEnd w:id="11"/>
    <w:bookmarkEnd w:id="12"/>
    <w:bookmarkStart w:id="14" w:name="how-its-used-at-runtime"/>
    <w:p>
      <w:pPr>
        <w:pStyle w:val="Heading2"/>
      </w:pPr>
      <w:r>
        <w:t xml:space="preserve">How it’s used at runtime</w:t>
      </w:r>
    </w:p>
    <w:p>
      <w:pPr>
        <w:pStyle w:val="FirstParagraph"/>
      </w:pPr>
      <w:r>
        <w:t xml:space="preserve">The handwritten markdown above is the</w:t>
      </w:r>
      <w:r>
        <w:t xml:space="preserve"> </w:t>
      </w:r>
      <w:r>
        <w:rPr>
          <w:i/>
          <w:iCs/>
        </w:rPr>
        <w:t xml:space="preserve">source of truth</w:t>
      </w:r>
      <w:r>
        <w:t xml:space="preserve"> </w:t>
      </w:r>
      <w:r>
        <w:t xml:space="preserve">for humans. For AI generation it gets distilled into a single DB-stored JSON:</w:t>
      </w:r>
    </w:p>
    <w:p>
      <w:pPr>
        <w:pStyle w:val="SourceCode"/>
      </w:pPr>
      <w:r>
        <w:rPr>
          <w:rStyle w:val="VerbatimChar"/>
        </w:rPr>
        <w:t xml:space="preserve">Research/CARR_MASTER_POSITIONING.md (human-authored)</w:t>
      </w:r>
      <w:r>
        <w:br/>
      </w:r>
      <w:r>
        <w:rPr>
          <w:rStyle w:val="VerbatimChar"/>
        </w:rPr>
        <w:t xml:space="preserve">    ↓ (one-time + on-edit sync)</w:t>
      </w:r>
      <w:r>
        <w:br/>
      </w:r>
      <w:r>
        <w:rPr>
          <w:rStyle w:val="VerbatimChar"/>
        </w:rPr>
        <w:t xml:space="preserve">client_config.outreach_positioning (~17K characters of JSON, 34 top-level keys)</w:t>
      </w:r>
      <w:r>
        <w:br/>
      </w:r>
      <w:r>
        <w:rPr>
          <w:rStyle w:val="VerbatimChar"/>
        </w:rPr>
        <w:t xml:space="preserve">    ↓ (queried by every EF call)</w:t>
      </w:r>
      <w:r>
        <w:br/>
      </w:r>
      <w:r>
        <w:rPr>
          <w:rStyle w:val="VerbatimChar"/>
        </w:rPr>
        <w:t xml:space="preserve">generate-outreach-message v55 + generate-content-multi-source</w:t>
      </w:r>
    </w:p>
    <w:bookmarkStart w:id="13" w:name="X55965ff4c21c949ba89a386c155c839629c41fd"/>
    <w:p>
      <w:pPr>
        <w:pStyle w:val="Heading3"/>
      </w:pPr>
      <w:r>
        <w:t xml:space="preserve">What lives in the positioning JSON (</w:t>
      </w:r>
      <w:r>
        <w:rPr>
          <w:rStyle w:val="VerbatimChar"/>
        </w:rPr>
        <w:t xml:space="preserve">outreach_positioning</w:t>
      </w:r>
      <w:r>
        <w:t xml:space="preserve"> </w:t>
      </w:r>
      <w:r>
        <w:t xml:space="preserve">row in</w:t>
      </w:r>
      <w:r>
        <w:t xml:space="preserve"> </w:t>
      </w:r>
      <w:r>
        <w:rPr>
          <w:rStyle w:val="VerbatimChar"/>
        </w:rPr>
        <w:t xml:space="preserve">client_config</w:t>
      </w:r>
      <w:r>
        <w:t xml:space="preserve">)</w:t>
      </w:r>
    </w:p>
    <w:p>
      <w:pPr>
        <w:pStyle w:val="FirstParagraph"/>
      </w:pPr>
      <w:r>
        <w:t xml:space="preserve">Verified May 11 via</w:t>
      </w:r>
      <w:r>
        <w:t xml:space="preserve"> </w:t>
      </w:r>
      <w:r>
        <w:rPr>
          <w:rStyle w:val="VerbatimChar"/>
        </w:rPr>
        <w:t xml:space="preserve">docs/SSO_MATRIX_DEEP_DIVE_2026-05-11.md</w:t>
      </w:r>
      <w:r>
        <w:t xml:space="preserve">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Block</w:t>
            </w:r>
          </w:p>
        </w:tc>
        <w:tc>
          <w:tcPr/>
          <w:p>
            <w:pPr>
              <w:pStyle w:val="Compact"/>
            </w:pPr>
            <w:r>
              <w:t xml:space="preserve">What it contains</w:t>
            </w:r>
          </w:p>
        </w:tc>
        <w:tc>
          <w:tcPr/>
          <w:p>
            <w:pPr>
              <w:pStyle w:val="Compact"/>
            </w:pPr>
            <w:r>
              <w:t xml:space="preserve">Used by EF?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company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mission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tagline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parent_context</w:t>
            </w:r>
          </w:p>
        </w:tc>
        <w:tc>
          <w:tcPr/>
          <w:p>
            <w:pPr>
              <w:pStyle w:val="Compact"/>
            </w:pPr>
            <w:r>
              <w:t xml:space="preserve">Identity strings, Barry-Wehmiller context</w:t>
            </w:r>
          </w:p>
        </w:tc>
        <w:tc>
          <w:tcPr/>
          <w:p>
            <w:pPr>
              <w:pStyle w:val="Compact"/>
            </w:pPr>
            <w:r>
              <w:t xml:space="preserve">yes (identity strings)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service_model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company_description</w:t>
            </w:r>
          </w:p>
        </w:tc>
        <w:tc>
          <w:tcPr/>
          <w:p>
            <w:pPr>
              <w:pStyle w:val="Compact"/>
            </w:pPr>
            <w:r>
              <w:t xml:space="preserve">“Who you are writing as”</w:t>
            </w:r>
            <w:r>
              <w:t xml:space="preserve"> </w:t>
            </w:r>
            <w:r>
              <w:t xml:space="preserve">framing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value_pillars</w:t>
            </w:r>
            <w:r>
              <w:t xml:space="preserve"> </w:t>
            </w:r>
            <w:r>
              <w:t xml:space="preserve">(5 pillars)</w:t>
            </w:r>
          </w:p>
        </w:tc>
        <w:tc>
          <w:tcPr/>
          <w:p>
            <w:pPr>
              <w:pStyle w:val="Compact"/>
            </w:pPr>
            <w:r>
              <w:t xml:space="preserve">The 5 core value props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value_proposition_canvas</w:t>
            </w:r>
          </w:p>
        </w:tc>
        <w:tc>
          <w:tcPr/>
          <w:p>
            <w:pPr>
              <w:pStyle w:val="Compact"/>
            </w:pPr>
            <w:r>
              <w:t xml:space="preserve">Role-angle → pillar map (Manufacturing → High Performance + Scalable; Quality → Closed System + Automation, etc.)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products</w:t>
            </w:r>
          </w:p>
        </w:tc>
        <w:tc>
          <w:tcPr/>
          <w:p>
            <w:pPr>
              <w:pStyle w:val="Compact"/>
            </w:pPr>
            <w:r>
              <w:t xml:space="preserve">UniFuge UF Mini, UF Pilot, ScalePrep, etc. with specs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competitive_positioning</w:t>
            </w:r>
          </w:p>
        </w:tc>
        <w:tc>
          <w:tcPr/>
          <w:p>
            <w:pPr>
              <w:pStyle w:val="Compact"/>
            </w:pPr>
            <w:r>
              <w:t xml:space="preserve">6 head-to-head matrices (Cytiva, Sartorius, Thermo Fisher, etc.) — matched at gen time by</w:t>
            </w:r>
            <w:r>
              <w:t xml:space="preserve"> </w:t>
            </w:r>
            <w:r>
              <w:rPr>
                <w:rStyle w:val="VerbatimChar"/>
              </w:rPr>
              <w:t xml:space="preserve">account.separationTechnology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icp_groups</w:t>
            </w:r>
            <w:r>
              <w:t xml:space="preserve"> </w:t>
            </w:r>
            <w:r>
              <w:t xml:space="preserve">(7 groups)</w:t>
            </w:r>
          </w:p>
        </w:tc>
        <w:tc>
          <w:tcPr/>
          <w:p>
            <w:pPr>
              <w:pStyle w:val="Compact"/>
            </w:pPr>
            <w:r>
              <w:t xml:space="preserve">td_allogeneic, td_autologous, iPSC, MSC, etc. — each with pain points + lead-in phrases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messaging_variants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traditional</w:t>
            </w:r>
            <w:r>
              <w:t xml:space="preserve"> </w:t>
            </w:r>
            <w:r>
              <w:t xml:space="preserve">+</w:t>
            </w:r>
            <w:r>
              <w:t xml:space="preserve"> </w:t>
            </w:r>
            <w:r>
              <w:rPr>
                <w:rStyle w:val="VerbatimChar"/>
              </w:rPr>
              <w:t xml:space="preserve">path_to_patients</w:t>
            </w:r>
            <w:r>
              <w:t xml:space="preserve"> </w:t>
            </w:r>
            <w:r>
              <w:t xml:space="preserve">framings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role_messaging_overrides</w:t>
            </w:r>
          </w:p>
        </w:tc>
        <w:tc>
          <w:tcPr/>
          <w:p>
            <w:pPr>
              <w:pStyle w:val="Compact"/>
            </w:pPr>
            <w:r>
              <w:t xml:space="preserve">Per-persona override of default messaging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tone_rules_global</w:t>
            </w:r>
            <w:r>
              <w:t xml:space="preserve"> </w:t>
            </w:r>
            <w:r>
              <w:t xml:space="preserve">(12 rules)</w:t>
            </w:r>
          </w:p>
        </w:tc>
        <w:tc>
          <w:tcPr/>
          <w:p>
            <w:pPr>
              <w:pStyle w:val="Compact"/>
            </w:pPr>
            <w:r>
              <w:t xml:space="preserve">Tone-by-audience guardrails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banned_phrases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preferred_vocabulary</w:t>
            </w:r>
          </w:p>
        </w:tc>
        <w:tc>
          <w:tcPr/>
          <w:p>
            <w:pPr>
              <w:pStyle w:val="Compact"/>
            </w:pPr>
            <w:r>
              <w:t xml:space="preserve">Explicit do-not-use / prefer-this lists</w:t>
            </w:r>
          </w:p>
        </w:tc>
        <w:tc>
          <w:tcPr/>
          <w:p>
            <w:pPr>
              <w:pStyle w:val="Compact"/>
            </w:pPr>
            <w:r>
              <w:t xml:space="preserve">yes (rendered as guardrails in prompt)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path_to_patients_program</w:t>
            </w:r>
          </w:p>
        </w:tc>
        <w:tc>
          <w:tcPr/>
          <w:p>
            <w:pPr>
              <w:pStyle w:val="Compact"/>
            </w:pPr>
            <w:r>
              <w:t xml:space="preserve">P2P pricing, rentals, buyback program details</w:t>
            </w:r>
          </w:p>
        </w:tc>
        <w:tc>
          <w:tcPr/>
          <w:p>
            <w:pPr>
              <w:pStyle w:val="Compact"/>
            </w:pPr>
            <w:r>
              <w:t xml:space="preserve">yes (only when variant = path_to_patients)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publications</w:t>
            </w:r>
          </w:p>
        </w:tc>
        <w:tc>
          <w:tcPr/>
          <w:p>
            <w:pPr>
              <w:pStyle w:val="Compact"/>
            </w:pPr>
            <w:r>
              <w:t xml:space="preserve">Filtered by clinical stage when relevant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cell_type_positioning</w:t>
            </w:r>
          </w:p>
        </w:tc>
        <w:tc>
          <w:tcPr/>
          <w:p>
            <w:pPr>
              <w:pStyle w:val="Compact"/>
            </w:pPr>
            <w:r>
              <w:t xml:space="preserve">How to talk about CAR-T, iPSC, MSC, NK, etc.</w:t>
            </w:r>
          </w:p>
        </w:tc>
        <w:tc>
          <w:tcPr/>
          <w:p>
            <w:pPr>
              <w:pStyle w:val="Compact"/>
            </w:pPr>
            <w:r>
              <w:t xml:space="preserve">not yet surfaced (deferred)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cta_patterns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discovery_questions</w:t>
            </w:r>
          </w:p>
        </w:tc>
        <w:tc>
          <w:tcPr/>
          <w:p>
            <w:pPr>
              <w:pStyle w:val="Compact"/>
            </w:pPr>
            <w:r>
              <w:t xml:space="preserve">Content-studio side (LinkedIn posts)</w:t>
            </w:r>
          </w:p>
        </w:tc>
        <w:tc>
          <w:tcPr/>
          <w:p>
            <w:pPr>
              <w:pStyle w:val="Compact"/>
            </w:pPr>
            <w:r>
              <w:t xml:space="preserve">content gen only</w:t>
            </w:r>
          </w:p>
        </w:tc>
      </w:tr>
    </w:tbl>
    <w:p>
      <w:pPr>
        <w:pStyle w:val="BlockText"/>
      </w:pPr>
      <w:r>
        <w:t xml:space="preserve">The 17K-char JSON is what makes the AI write with CARR’s actual product specs, competitive advantages, and approved language — not generic CGT industry phrasing.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5" w:name="how-it-shows-up-in-real-outreach"/>
    <w:p>
      <w:pPr>
        <w:pStyle w:val="Heading2"/>
      </w:pPr>
      <w:r>
        <w:t xml:space="preserve">How it shows up in real outreach</w:t>
      </w:r>
    </w:p>
    <w:p>
      <w:pPr>
        <w:pStyle w:val="FirstParagraph"/>
      </w:pPr>
      <w:r>
        <w:t xml:space="preserve">Every generated message includes (in this order, per</w:t>
      </w:r>
      <w:r>
        <w:t xml:space="preserve"> </w:t>
      </w:r>
      <w:r>
        <w:rPr>
          <w:rStyle w:val="VerbatimChar"/>
        </w:rPr>
        <w:t xml:space="preserve">generate-outreach-message</w:t>
      </w:r>
      <w:r>
        <w:t xml:space="preserve"> </w:t>
      </w:r>
      <w:r>
        <w:t xml:space="preserve">v55):</w:t>
      </w:r>
    </w:p>
    <w:p>
      <w:pPr>
        <w:pStyle w:val="Compact"/>
        <w:numPr>
          <w:ilvl w:val="0"/>
          <w:numId w:val="1001"/>
        </w:numPr>
      </w:pPr>
      <w:r>
        <w:t xml:space="preserve">Sender identity block (from</w:t>
      </w:r>
      <w:r>
        <w:t xml:space="preserve"> </w:t>
      </w:r>
      <w:r>
        <w:rPr>
          <w:rStyle w:val="VerbatimChar"/>
        </w:rPr>
        <w:t xml:space="preserve">team_profiles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Target contact block (Clay summary + L2 segment data)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Account positioning context</w:t>
      </w:r>
      <w:r>
        <w:t xml:space="preserve"> </w:t>
      </w:r>
      <w:r>
        <w:t xml:space="preserve">keyed off the account’s ICP group → injected lead-in</w:t>
      </w:r>
    </w:p>
    <w:p>
      <w:pPr>
        <w:pStyle w:val="Compact"/>
        <w:numPr>
          <w:ilvl w:val="0"/>
          <w:numId w:val="1001"/>
        </w:numPr>
      </w:pPr>
      <w:r>
        <w:t xml:space="preserve">Account-specific block (modality, dev stage, scale, separation tech) + competitive line if applicable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Messaging Strategy</w:t>
      </w:r>
      <w:r>
        <w:t xml:space="preserve"> </w:t>
      </w:r>
      <w:r>
        <w:t xml:space="preserve">(3-tier: matrix → icp_groups → role fallback)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Messaging Variant</w:t>
      </w:r>
      <w:r>
        <w:t xml:space="preserve"> </w:t>
      </w:r>
      <w:r>
        <w:t xml:space="preserve">(Path-to-Patients block if selected)</w:t>
      </w:r>
    </w:p>
    <w:p>
      <w:pPr>
        <w:pStyle w:val="Compact"/>
        <w:numPr>
          <w:ilvl w:val="0"/>
          <w:numId w:val="1001"/>
        </w:numPr>
      </w:pPr>
      <w:r>
        <w:t xml:space="preserve">Value Pillars (1–2 matched to the role angle)</w:t>
      </w:r>
    </w:p>
    <w:p>
      <w:pPr>
        <w:pStyle w:val="Compact"/>
        <w:numPr>
          <w:ilvl w:val="0"/>
          <w:numId w:val="1001"/>
        </w:numPr>
      </w:pPr>
      <w:r>
        <w:t xml:space="preserve">Recent Account Signals (news/trials/grants — see</w:t>
      </w:r>
      <w:r>
        <w:t xml:space="preserve"> </w:t>
      </w:r>
      <w:r>
        <w:rPr>
          <w:rStyle w:val="VerbatimChar"/>
        </w:rPr>
        <w:t xml:space="preserve">09_live_intelligence_apis.md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Custom context (operator free-text)</w:t>
      </w:r>
    </w:p>
    <w:p>
      <w:pPr>
        <w:pStyle w:val="Compact"/>
        <w:numPr>
          <w:ilvl w:val="0"/>
          <w:numId w:val="1001"/>
        </w:numPr>
      </w:pPr>
      <w:r>
        <w:t xml:space="preserve">Message instructions (type, length, tone, goal)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Products / Tone rules / Banned phrases / Preferred vocabulary</w:t>
      </w:r>
    </w:p>
    <w:p>
      <w:pPr>
        <w:pStyle w:val="FirstParagraph"/>
      </w:pPr>
      <w:r>
        <w:t xml:space="preserve">The matrix matches in 90%+ of cases. When it doesn’t, the system falls back to</w:t>
      </w:r>
      <w:r>
        <w:t xml:space="preserve"> </w:t>
      </w:r>
      <w:r>
        <w:rPr>
          <w:rStyle w:val="VerbatimChar"/>
        </w:rPr>
        <w:t xml:space="preserve">icp_groups</w:t>
      </w:r>
      <w:r>
        <w:t xml:space="preserve"> </w:t>
      </w:r>
      <w:r>
        <w:t xml:space="preserve">lead-ins and then to hardcoded</w:t>
      </w:r>
      <w:r>
        <w:t xml:space="preserve"> </w:t>
      </w:r>
      <w:r>
        <w:rPr>
          <w:rStyle w:val="VerbatimChar"/>
        </w:rPr>
        <w:t xml:space="preserve">DEFAULT_ROLE_MESSAGING</w:t>
      </w:r>
      <w:r>
        <w:t xml:space="preserve">.</w:t>
      </w:r>
      <w:r>
        <w:t xml:space="preserve"> </w:t>
      </w:r>
      <w:r>
        <w:rPr>
          <w:rStyle w:val="VerbatimChar"/>
        </w:rPr>
        <w:t xml:space="preserve">generation_metadata.messagingSource</w:t>
      </w:r>
      <w:r>
        <w:t xml:space="preserve"> </w:t>
      </w:r>
      <w:r>
        <w:t xml:space="preserve">records which tier fired (</w:t>
      </w:r>
      <w:r>
        <w:rPr>
          <w:rStyle w:val="VerbatimChar"/>
        </w:rPr>
        <w:t xml:space="preserve">db_matrix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db_matrix_cgt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role_fallback</w:t>
      </w:r>
      <w:r>
        <w:t xml:space="preserve">).</w:t>
      </w:r>
    </w:p>
    <w:p>
      <w:r>
        <w:pict>
          <v:rect style="width:0;height:1.5pt" o:hralign="center" o:hrstd="t" o:hr="t"/>
        </w:pict>
      </w:r>
    </w:p>
    <w:bookmarkEnd w:id="15"/>
    <w:bookmarkStart w:id="16" w:name="live-evidence"/>
    <w:p>
      <w:pPr>
        <w:pStyle w:val="Heading2"/>
      </w:pPr>
      <w:r>
        <w:t xml:space="preserve">Live evidence</w:t>
      </w:r>
    </w:p>
    <w:p>
      <w:pPr>
        <w:pStyle w:val="FirstParagraph"/>
      </w:pPr>
      <w:r>
        <w:t xml:space="preserve">From the May 11 smoke test (real run, archived in</w:t>
      </w:r>
      <w:r>
        <w:t xml:space="preserve"> </w:t>
      </w:r>
      <w:r>
        <w:rPr>
          <w:rStyle w:val="VerbatimChar"/>
        </w:rPr>
        <w:t xml:space="preserve">outreach_messages</w:t>
      </w:r>
      <w:r>
        <w:t xml:space="preserve">):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Target:</w:t>
      </w:r>
      <w:r>
        <w:t xml:space="preserve"> </w:t>
      </w:r>
      <w:r>
        <w:t xml:space="preserve">Harish Santhanam, VP Cell Therapy Tech Ops, Juno Therapeutics (CAR-T, 9 trials, public)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Result:</w:t>
      </w:r>
      <w:r>
        <w:t xml:space="preserve"> </w:t>
      </w:r>
      <w:r>
        <w:t xml:space="preserve">910-char InMail, subject</w:t>
      </w:r>
      <w:r>
        <w:t xml:space="preserve"> </w:t>
      </w:r>
      <w:r>
        <w:rPr>
          <w:i/>
          <w:iCs/>
        </w:rPr>
        <w:t xml:space="preserve">“CAR-T processing challenges from bench to commercial scale”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Persona matched:</w:t>
      </w:r>
      <w:r>
        <w:t xml:space="preserve"> </w:t>
      </w:r>
      <w:r>
        <w:rPr>
          <w:rStyle w:val="VerbatimChar"/>
        </w:rPr>
        <w:t xml:space="preserve">TECHNICAL</w:t>
      </w:r>
      <w:r>
        <w:t xml:space="preserve"> </w:t>
      </w:r>
      <w:r>
        <w:t xml:space="preserve">(Tier 1 —</w:t>
      </w:r>
      <w:r>
        <w:t xml:space="preserve"> </w:t>
      </w:r>
      <w:r>
        <w:rPr>
          <w:rStyle w:val="VerbatimChar"/>
        </w:rPr>
        <w:t xml:space="preserve">db_matrix_cgt</w:t>
      </w:r>
      <w:r>
        <w:t xml:space="preserve">)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Lead in:</w:t>
      </w:r>
      <w:r>
        <w:t xml:space="preserve"> </w:t>
      </w:r>
      <w:r>
        <w:rPr>
          <w:i/>
          <w:iCs/>
        </w:rPr>
        <w:t xml:space="preserve">“Juno’s CAR-T programs moving through clinical development likely face the classic challenge of maintaining cell viability and recovery when scaling separation protocols…”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Source mix:</w:t>
      </w:r>
      <w:r>
        <w:t xml:space="preserve"> </w:t>
      </w:r>
      <w:r>
        <w:t xml:space="preserve">Matrix angle (technical_expertise → scalable processing) primary, account trials (NCT07335562, NCT07115745) as supporting context</w:t>
      </w:r>
    </w:p>
    <w:p>
      <w:pPr>
        <w:pStyle w:val="FirstParagraph"/>
      </w:pPr>
      <w:r>
        <w:t xml:space="preserve">The matrix angle dominated; trials provided conceptual support without being quoted as NCT IDs (per the</w:t>
      </w:r>
      <w:r>
        <w:t xml:space="preserve"> </w:t>
      </w:r>
      <w:r>
        <w:t xml:space="preserve">“use AT MOST ONE”</w:t>
      </w:r>
      <w:r>
        <w:t xml:space="preserve"> </w:t>
      </w:r>
      <w:r>
        <w:t xml:space="preserve">instruction in the signals block).</w:t>
      </w:r>
    </w:p>
    <w:p>
      <w:r>
        <w:pict>
          <v:rect style="width:0;height:1.5pt" o:hralign="center" o:hrstd="t" o:hr="t"/>
        </w:pict>
      </w:r>
    </w:p>
    <w:bookmarkEnd w:id="16"/>
    <w:bookmarkStart w:id="17" w:name="what-this-layer-looks-like-elsewhere"/>
    <w:p>
      <w:pPr>
        <w:pStyle w:val="Heading2"/>
      </w:pPr>
      <w:r>
        <w:t xml:space="preserve">What this layer looks like elsewhere</w:t>
      </w:r>
    </w:p>
    <w:p>
      <w:pPr>
        <w:pStyle w:val="FirstParagraph"/>
      </w:pPr>
      <w:r>
        <w:t xml:space="preserve">Companies typically assemble this through some combination of: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Component</w:t>
            </w:r>
          </w:p>
        </w:tc>
        <w:tc>
          <w:tcPr/>
          <w:p>
            <w:pPr>
              <w:pStyle w:val="Compact"/>
            </w:pPr>
            <w:r>
              <w:t xml:space="preserve">Typical alternative</w:t>
            </w:r>
          </w:p>
        </w:tc>
        <w:tc>
          <w:tcPr/>
          <w:p>
            <w:pPr>
              <w:pStyle w:val="Compact"/>
            </w:pPr>
            <w:r>
              <w:t xml:space="preserve">Rough cost 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Brand bible + voice doc</w:t>
            </w:r>
          </w:p>
        </w:tc>
        <w:tc>
          <w:tcPr/>
          <w:p>
            <w:pPr>
              <w:pStyle w:val="Compact"/>
            </w:pPr>
            <w:r>
              <w:t xml:space="preserve">Brand-strategy firm (1-time engagement)</w:t>
            </w:r>
          </w:p>
        </w:tc>
        <w:tc>
          <w:tcPr/>
          <w:p>
            <w:pPr>
              <w:pStyle w:val="Compact"/>
            </w:pPr>
            <w:r>
              <w:t xml:space="preserve">A focused brand-strategy engagement typically runs $25K–$120K depending on scope and firm tier; positioning-only sprints from boutique strategy firms can run $10K–$40K. Public price points are scarce because most firms scope custom.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Messaging matrix (pain × persona × value)</w:t>
            </w:r>
          </w:p>
        </w:tc>
        <w:tc>
          <w:tcPr/>
          <w:p>
            <w:pPr>
              <w:pStyle w:val="Compact"/>
            </w:pPr>
            <w:r>
              <w:t xml:space="preserve">RevOps / demand-gen consultant + Miller Heiman or Challenger framework</w:t>
            </w:r>
          </w:p>
        </w:tc>
        <w:tc>
          <w:tcPr/>
          <w:p>
            <w:pPr>
              <w:pStyle w:val="Compact"/>
            </w:pPr>
            <w:r>
              <w:t xml:space="preserve">Miller Heiman Group (now Korn Ferry) framework training + a workshop-style engagement is typically a 4–6 figure annual investment per team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Sales enablement content per persona</w:t>
            </w:r>
          </w:p>
        </w:tc>
        <w:tc>
          <w:tcPr/>
          <w:p>
            <w:pPr>
              <w:pStyle w:val="Compact"/>
            </w:pPr>
            <w:r>
              <w:t xml:space="preserve">Sales enablement platform (Highspot, Seismic, Showpad) + content team</w:t>
            </w:r>
          </w:p>
        </w:tc>
        <w:tc>
          <w:tcPr/>
          <w:p>
            <w:pPr>
              <w:pStyle w:val="Compact"/>
            </w:pPr>
            <w:r>
              <w:t xml:space="preserve">Highspot enterprise plans are quoted (not published); third-party listings reference roughly $30K–$75K/yr</w:t>
            </w:r>
          </w:p>
        </w:tc>
      </w:tr>
      <w:tr>
        <w:tc>
          <w:tcPr/>
          <w:p>
            <w:pPr>
              <w:pStyle w:val="Compact"/>
            </w:pPr>
            <w:r>
              <w:t xml:space="preserve">Voice-aligned message generation</w:t>
            </w:r>
          </w:p>
        </w:tc>
        <w:tc>
          <w:tcPr/>
          <w:p>
            <w:pPr>
              <w:pStyle w:val="Compact"/>
            </w:pPr>
            <w:r>
              <w:t xml:space="preserve">Lavender, Regie.ai, Twain, etc. (LLM email assistants)</w:t>
            </w:r>
          </w:p>
        </w:tc>
        <w:tc>
          <w:tcPr/>
          <w:p>
            <w:pPr>
              <w:pStyle w:val="Compact"/>
            </w:pPr>
            <w:r>
              <w:t xml:space="preserve">Lavender Pro is $29/user/mo public; Regie.ai team plans are quoted; both are general-purpose, not CARR-positioned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Real-time tone enforcement at generation</w:t>
            </w:r>
          </w:p>
        </w:tc>
        <w:tc>
          <w:tcPr/>
          <w:p>
            <w:pPr>
              <w:pStyle w:val="Compact"/>
            </w:pPr>
            <w:r>
              <w:t xml:space="preserve">Custom integration on top of an LLM API</w:t>
            </w:r>
          </w:p>
        </w:tc>
        <w:tc>
          <w:tcPr/>
          <w:p>
            <w:pPr>
              <w:pStyle w:val="Compact"/>
            </w:pPr>
            <w:r>
              <w:t xml:space="preserve">DIY engineering effort — typically multi-month build</w:t>
            </w:r>
          </w:p>
        </w:tc>
      </w:tr>
    </w:tbl>
    <w:p>
      <w:pPr>
        <w:pStyle w:val="BlockText"/>
      </w:pPr>
      <w:r>
        <w:t xml:space="preserve">The point of this comparison isn’t to say BC’s stack is cheaper. It’s that the assembly itself — the work of translating CARR’s specific decks, products, P2P program, vocabulary, and competitive position into a machine-consumable layer that runs at every message — is the asset. Whatever stack runs underneath, this layer is portable. (See</w:t>
      </w:r>
      <w:r>
        <w:t xml:space="preserve"> </w:t>
      </w:r>
      <w:r>
        <w:rPr>
          <w:rStyle w:val="VerbatimChar"/>
        </w:rPr>
        <w:t xml:space="preserve">12_market_alternative_costs.md</w:t>
      </w:r>
      <w:r>
        <w:t xml:space="preserve"> </w:t>
      </w:r>
      <w:r>
        <w:t xml:space="preserve">for the full reference.)</w:t>
      </w:r>
    </w:p>
    <w:p>
      <w:r>
        <w:pict>
          <v:rect style="width:0;height:1.5pt" o:hralign="center" o:hrstd="t" o:hr="t"/>
        </w:pict>
      </w:r>
    </w:p>
    <w:bookmarkEnd w:id="17"/>
    <w:bookmarkStart w:id="18" w:name="cross-references"/>
    <w:p>
      <w:pPr>
        <w:pStyle w:val="Heading2"/>
      </w:pPr>
      <w:r>
        <w:t xml:space="preserve">Cross-references</w:t>
      </w:r>
    </w:p>
    <w:p>
      <w:pPr>
        <w:pStyle w:val="Compact"/>
        <w:numPr>
          <w:ilvl w:val="0"/>
          <w:numId w:val="1003"/>
        </w:numPr>
      </w:pPr>
      <w:r>
        <w:t xml:space="preserve">Full brand source files:</w:t>
      </w:r>
      <w:r>
        <w:t xml:space="preserve"> </w:t>
      </w:r>
      <w:r>
        <w:rPr>
          <w:rStyle w:val="VerbatimChar"/>
        </w:rPr>
        <w:t xml:space="preserve">Research/</w:t>
      </w:r>
      <w:r>
        <w:t xml:space="preserve"> </w:t>
      </w:r>
      <w:r>
        <w:t xml:space="preserve">(CARR_BRAND_BIBLE.md, CARR_MASTER_BRAND_VOICE.md, CARR_MASTER_DESIGN.md, CARR_LANDING_PAGES.md)</w:t>
      </w:r>
    </w:p>
    <w:p>
      <w:pPr>
        <w:pStyle w:val="Compact"/>
        <w:numPr>
          <w:ilvl w:val="0"/>
          <w:numId w:val="1003"/>
        </w:numPr>
      </w:pPr>
      <w:r>
        <w:t xml:space="preserve">30-doc research library:</w:t>
      </w:r>
      <w:r>
        <w:t xml:space="preserve"> </w:t>
      </w:r>
      <w:r>
        <w:rPr>
          <w:rStyle w:val="VerbatimChar"/>
        </w:rPr>
        <w:t xml:space="preserve">Research/Carr BioSystems/</w:t>
      </w:r>
    </w:p>
    <w:p>
      <w:pPr>
        <w:pStyle w:val="Compact"/>
        <w:numPr>
          <w:ilvl w:val="0"/>
          <w:numId w:val="1003"/>
        </w:numPr>
      </w:pPr>
      <w:r>
        <w:t xml:space="preserve">Master positioning review:</w:t>
      </w:r>
      <w:r>
        <w:t xml:space="preserve"> </w:t>
      </w:r>
      <w:r>
        <w:rPr>
          <w:rStyle w:val="VerbatimChar"/>
        </w:rPr>
        <w:t xml:space="preserve">Research/Carr BioSystems/CARR_MESSAGING_POSITIONING_REVIEW.md</w:t>
      </w:r>
    </w:p>
    <w:p>
      <w:pPr>
        <w:pStyle w:val="Compact"/>
        <w:numPr>
          <w:ilvl w:val="0"/>
          <w:numId w:val="1003"/>
        </w:numPr>
      </w:pPr>
      <w:r>
        <w:t xml:space="preserve">Positioning JSON in DB:</w:t>
      </w:r>
      <w:r>
        <w:t xml:space="preserve"> </w:t>
      </w:r>
      <w:r>
        <w:rPr>
          <w:rStyle w:val="VerbatimChar"/>
        </w:rPr>
        <w:t xml:space="preserve">client_config.outreach_positioning</w:t>
      </w:r>
      <w:r>
        <w:t xml:space="preserve"> </w:t>
      </w:r>
      <w:r>
        <w:t xml:space="preserve">(see</w:t>
      </w:r>
      <w:r>
        <w:t xml:space="preserve"> </w:t>
      </w:r>
      <w:r>
        <w:rPr>
          <w:rStyle w:val="VerbatimChar"/>
        </w:rPr>
        <w:t xml:space="preserve">docs/SSO_MATRIX_DEEP_DIVE_2026-05-11.md</w:t>
      </w:r>
      <w:r>
        <w:t xml:space="preserve"> </w:t>
      </w:r>
      <w:r>
        <w:t xml:space="preserve">§3 for the full key map)</w:t>
      </w:r>
    </w:p>
    <w:p>
      <w:pPr>
        <w:pStyle w:val="Compact"/>
        <w:numPr>
          <w:ilvl w:val="0"/>
          <w:numId w:val="1003"/>
        </w:numPr>
      </w:pPr>
      <w:r>
        <w:t xml:space="preserve">How the prompt is assembled:</w:t>
      </w:r>
      <w:r>
        <w:t xml:space="preserve"> </w:t>
      </w:r>
      <w:r>
        <w:rPr>
          <w:rStyle w:val="VerbatimChar"/>
        </w:rPr>
        <w:t xml:space="preserve">08_messaging_system.md</w:t>
      </w:r>
    </w:p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Intelligence &amp; Brand Layer</dc:title>
  <dc:creator>BioCreative Strategies; Prepared for CARR Biosystems (Barry-Wehmiller)</dc:creator>
  <cp:keywords/>
  <dcterms:created xsi:type="dcterms:W3CDTF">2026-07-22T01:52:23Z</dcterms:created>
  <dcterms:modified xsi:type="dcterms:W3CDTF">2026-07-22T01:52:23Z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