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 &amp; Frontend Hosting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6" w:name="compute-frontend-hosting"/>
    <w:p>
      <w:pPr>
        <w:pStyle w:val="Heading1"/>
      </w:pPr>
      <w:r>
        <w:t xml:space="preserve">03 — Compute + Frontend Hosting</w:t>
      </w:r>
    </w:p>
    <w:p>
      <w:pPr>
        <w:pStyle w:val="BlockText"/>
      </w:pPr>
      <w:r>
        <w:t xml:space="preserve">Deep-research synthesis on Azure compute + frontend hosting for CARR. Costs are 2026 projections; GA/preview tags are point-in-time.</w:t>
      </w:r>
      <w:r>
        <w:t xml:space="preserve"> </w:t>
      </w:r>
      <w:r>
        <w:rPr>
          <w:b/>
          <w:bCs/>
        </w:rPr>
        <w:t xml:space="preserve">Triggers:</w:t>
      </w:r>
      <w:r>
        <w:t xml:space="preserve"> </w:t>
      </w:r>
      <w:r>
        <w:t xml:space="preserve">“azure compute”</w:t>
      </w:r>
      <w:r>
        <w:t xml:space="preserve">,</w:t>
      </w:r>
      <w:r>
        <w:t xml:space="preserve"> </w:t>
      </w:r>
      <w:r>
        <w:t xml:space="preserve">“static web apps vite”</w:t>
      </w:r>
      <w:r>
        <w:t xml:space="preserve">,</w:t>
      </w:r>
      <w:r>
        <w:t xml:space="preserve"> </w:t>
      </w:r>
      <w:r>
        <w:t xml:space="preserve">“container apps deno”</w:t>
      </w:r>
      <w:r>
        <w:t xml:space="preserve">,</w:t>
      </w:r>
      <w:r>
        <w:t xml:space="preserve"> </w:t>
      </w:r>
      <w:r>
        <w:t xml:space="preserve">“virtual environments azure”</w:t>
      </w:r>
      <w:r>
        <w:t xml:space="preserve">,</w:t>
      </w:r>
      <w:r>
        <w:t xml:space="preserve"> </w:t>
      </w:r>
      <w:r>
        <w:t xml:space="preserve">“landing zone”</w:t>
      </w:r>
      <w:r>
        <w:t xml:space="preserve">,</w:t>
      </w:r>
      <w:r>
        <w:t xml:space="preserve"> </w:t>
      </w:r>
      <w:r>
        <w:t xml:space="preserve">“lovable replacement”</w:t>
      </w:r>
      <w:r>
        <w:t xml:space="preserve">.</w:t>
      </w:r>
    </w:p>
    <w:bookmarkStart w:id="9" w:name="Xbf55b7c1b4764496f00c3fd4bb4ab9e19bf03ad"/>
    <w:p>
      <w:pPr>
        <w:pStyle w:val="Heading2"/>
      </w:pPr>
      <w:r>
        <w:t xml:space="preserve">Recommended hosting pattern (lowest-disruption, all GA)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Frontend (Vite/React SPA) → Azure Static Web Apps (SWA)</w:t>
      </w:r>
      <w:r>
        <w:t xml:space="preserve"> </w:t>
      </w:r>
      <w:r>
        <w:t xml:space="preserve">[GA] — global CDN, free managed TLS, native GitHub Actions deploy.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19 Deno/TS Edge Functions → Azure Container Apps (ACA)</w:t>
      </w:r>
      <w:r>
        <w:t xml:space="preserve"> </w:t>
      </w:r>
      <w:r>
        <w:t xml:space="preserve">[GA] — containerize the Deno runtime (official</w:t>
      </w:r>
      <w:r>
        <w:t xml:space="preserve"> </w:t>
      </w:r>
      <w:r>
        <w:rPr>
          <w:rStyle w:val="VerbatimChar"/>
        </w:rPr>
        <w:t xml:space="preserve">denoland/deno</w:t>
      </w:r>
      <w:r>
        <w:t xml:space="preserve"> </w:t>
      </w:r>
      <w:r>
        <w:t xml:space="preserve">image), preserve the TypeScript code, scale-to-zero. SWA</w:t>
      </w:r>
      <w:r>
        <w:t xml:space="preserve"> </w:t>
      </w:r>
      <w:r>
        <w:t xml:space="preserve">“Bring Your Own Backend”</w:t>
      </w:r>
      <w:r>
        <w:t xml:space="preserve"> </w:t>
      </w:r>
      <w:r>
        <w:t xml:space="preserve">routes</w:t>
      </w:r>
      <w:r>
        <w:t xml:space="preserve"> </w:t>
      </w:r>
      <w:r>
        <w:rPr>
          <w:rStyle w:val="VerbatimChar"/>
        </w:rPr>
        <w:t xml:space="preserve">/api</w:t>
      </w:r>
      <w:r>
        <w:t xml:space="preserve"> </w:t>
      </w:r>
      <w:r>
        <w:t xml:space="preserve">→ ACA.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DB → Azure DB for PostgreSQL</w:t>
      </w:r>
      <w:r>
        <w:t xml:space="preserve"> </w:t>
      </w:r>
      <w:r>
        <w:t xml:space="preserve">(see</w:t>
      </w:r>
      <w:r>
        <w:t xml:space="preserve"> </w:t>
      </w:r>
      <w:r>
        <w:rPr>
          <w:rStyle w:val="VerbatimChar"/>
        </w:rPr>
        <w:t xml:space="preserve">01</w:t>
      </w:r>
      <w:r>
        <w:t xml:space="preserve">);</w:t>
      </w:r>
      <w:r>
        <w:t xml:space="preserve"> </w:t>
      </w:r>
      <w:r>
        <w:rPr>
          <w:b/>
          <w:bCs/>
        </w:rPr>
        <w:t xml:space="preserve">Realtime → Web PubSub</w:t>
      </w:r>
      <w:r>
        <w:t xml:space="preserve">.</w:t>
      </w:r>
    </w:p>
    <w:bookmarkEnd w:id="9"/>
    <w:bookmarkStart w:id="10" w:name="compute-options-for-the-team"/>
    <w:p>
      <w:pPr>
        <w:pStyle w:val="Heading2"/>
      </w:pPr>
      <w:r>
        <w:t xml:space="preserve">Compute options (for the team)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Fit for CARR</w:t>
            </w:r>
          </w:p>
        </w:tc>
      </w:tr>
      <w:tr>
        <w:tc>
          <w:tcPr/>
          <w:p>
            <w:pPr>
              <w:pStyle w:val="Compact"/>
            </w:pPr>
            <w:r>
              <w:t xml:space="preserve">Virtual Machines</w:t>
            </w:r>
          </w:p>
        </w:tc>
        <w:tc>
          <w:tcPr/>
          <w:p>
            <w:pPr>
              <w:pStyle w:val="Compact"/>
            </w:pPr>
            <w:r>
              <w:t xml:space="preserve">GA</w:t>
            </w:r>
          </w:p>
        </w:tc>
        <w:tc>
          <w:tcPr/>
          <w:p>
            <w:pPr>
              <w:pStyle w:val="Compact"/>
            </w:pPr>
            <w:r>
              <w:t xml:space="preserve">Poor — too much ops for 19 light scripts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AKS (Kubernetes)</w:t>
            </w:r>
          </w:p>
        </w:tc>
        <w:tc>
          <w:tcPr/>
          <w:p>
            <w:pPr>
              <w:pStyle w:val="Compact"/>
            </w:pPr>
            <w:r>
              <w:t xml:space="preserve">GA</w:t>
            </w:r>
          </w:p>
        </w:tc>
        <w:tc>
          <w:tcPr/>
          <w:p>
            <w:pPr>
              <w:pStyle w:val="Compact"/>
            </w:pPr>
            <w:r>
              <w:t xml:space="preserve">Poor — overkill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Container Apps (ACA)</w:t>
            </w:r>
          </w:p>
        </w:tc>
        <w:tc>
          <w:tcPr/>
          <w:p>
            <w:pPr>
              <w:pStyle w:val="Compact"/>
            </w:pPr>
            <w:r>
              <w:t xml:space="preserve">GA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Excellent</w:t>
            </w:r>
            <w:r>
              <w:t xml:space="preserve"> </w:t>
            </w:r>
            <w:r>
              <w:t xml:space="preserve">— serverless containers, runs Deno as-is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 Service</w:t>
            </w:r>
          </w:p>
        </w:tc>
        <w:tc>
          <w:tcPr/>
          <w:p>
            <w:pPr>
              <w:pStyle w:val="Compact"/>
            </w:pPr>
            <w:r>
              <w:t xml:space="preserve">GA</w:t>
            </w:r>
          </w:p>
        </w:tc>
        <w:tc>
          <w:tcPr/>
          <w:p>
            <w:pPr>
              <w:pStyle w:val="Compact"/>
            </w:pPr>
            <w:r>
              <w:t xml:space="preserve">Moderate — fine for monoliths; SWA+ACA better here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Static Web Apps</w:t>
            </w:r>
          </w:p>
        </w:tc>
        <w:tc>
          <w:tcPr/>
          <w:p>
            <w:pPr>
              <w:pStyle w:val="Compact"/>
            </w:pPr>
            <w:r>
              <w:t xml:space="preserve">GA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Excellent</w:t>
            </w:r>
            <w:r>
              <w:t xml:space="preserve"> </w:t>
            </w:r>
            <w:r>
              <w:t xml:space="preserve">— the frontend host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Azure Functions (Flex Consumption)</w:t>
            </w:r>
          </w:p>
        </w:tc>
        <w:tc>
          <w:tcPr/>
          <w:p>
            <w:pPr>
              <w:pStyle w:val="Compact"/>
            </w:pPr>
            <w:r>
              <w:t xml:space="preserve">GA</w:t>
            </w:r>
          </w:p>
        </w:tc>
        <w:tc>
          <w:tcPr/>
          <w:p>
            <w:pPr>
              <w:pStyle w:val="Compact"/>
            </w:pPr>
            <w:r>
              <w:t xml:space="preserve">Good</w:t>
            </w:r>
            <w:r>
              <w:t xml:space="preserve"> </w:t>
            </w:r>
            <w:r>
              <w:rPr>
                <w:i/>
                <w:iCs/>
              </w:rPr>
              <w:t xml:space="preserve">if</w:t>
            </w:r>
            <w:r>
              <w:t xml:space="preserve"> </w:t>
            </w:r>
            <w:r>
              <w:t xml:space="preserve">you rewrite Deno→Node</w:t>
            </w:r>
          </w:p>
        </w:tc>
      </w:tr>
    </w:tbl>
    <w:bookmarkEnd w:id="10"/>
    <w:bookmarkStart w:id="11" w:name="edge-functions-containerize-dont-rewrite"/>
    <w:p>
      <w:pPr>
        <w:pStyle w:val="Heading2"/>
      </w:pPr>
      <w:r>
        <w:t xml:space="preserve">Edge functions: containerize, don’t rewrite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Path B (recommended):</w:t>
      </w:r>
      <w:r>
        <w:t xml:space="preserve"> </w:t>
      </w:r>
      <w:r>
        <w:t xml:space="preserve">Dockerize Deno → ACA. Preserves TS/Deno code, migration in weeks. Secrets via Key Vault + Managed Identity.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Path A:</w:t>
      </w:r>
      <w:r>
        <w:t xml:space="preserve"> </w:t>
      </w:r>
      <w:r>
        <w:t xml:space="preserve">rewrite Deno→Node for Azure Functions (Flex Consumption, GA). Higher effort (</w:t>
      </w:r>
      <w:r>
        <w:rPr>
          <w:rStyle w:val="VerbatimChar"/>
        </w:rPr>
        <w:t xml:space="preserve">Deno.env</w:t>
      </w:r>
      <w:r>
        <w:t xml:space="preserve">→</w:t>
      </w:r>
      <w:r>
        <w:rPr>
          <w:rStyle w:val="VerbatimChar"/>
        </w:rPr>
        <w:t xml:space="preserve">process.env</w:t>
      </w:r>
      <w:r>
        <w:t xml:space="preserve">, URL imports→npm, top-level await). Only if BW mandates pure FaaS.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Reject</w:t>
      </w:r>
      <w:r>
        <w:t xml:space="preserve"> </w:t>
      </w:r>
      <w:r>
        <w:t xml:space="preserve">porting complex TS into Logic Apps / Power Automate — visual low-code can’t carry this logic (use them only for trivial scheduled triggers).</w:t>
      </w:r>
    </w:p>
    <w:bookmarkEnd w:id="11"/>
    <w:bookmarkStart w:id="12" w:name="virtual-environments-azure-landing-zones"/>
    <w:p>
      <w:pPr>
        <w:pStyle w:val="Heading2"/>
      </w:pPr>
      <w:r>
        <w:t xml:space="preserve">“Virtual environments”</w:t>
      </w:r>
      <w:r>
        <w:t xml:space="preserve"> </w:t>
      </w:r>
      <w:r>
        <w:t xml:space="preserve">= Azure Landing Zones</w:t>
      </w:r>
    </w:p>
    <w:p>
      <w:pPr>
        <w:pStyle w:val="FirstParagraph"/>
      </w:pPr>
      <w:r>
        <w:t xml:space="preserve">BW’s</w:t>
      </w:r>
      <w:r>
        <w:t xml:space="preserve"> </w:t>
      </w:r>
      <w:r>
        <w:t xml:space="preserve">“virtual environments”</w:t>
      </w:r>
      <w:r>
        <w:t xml:space="preserve"> </w:t>
      </w:r>
      <w:r>
        <w:t xml:space="preserve">maps to the</w:t>
      </w:r>
      <w:r>
        <w:t xml:space="preserve"> </w:t>
      </w:r>
      <w:r>
        <w:rPr>
          <w:b/>
          <w:bCs/>
        </w:rPr>
        <w:t xml:space="preserve">Cloud Adoption Framework / Azure Landing Zones</w:t>
      </w:r>
      <w:r>
        <w:t xml:space="preserve">: a hierarchy of</w:t>
      </w:r>
      <w:r>
        <w:t xml:space="preserve"> </w:t>
      </w:r>
      <w:r>
        <w:rPr>
          <w:b/>
          <w:bCs/>
        </w:rPr>
        <w:t xml:space="preserve">Management Groups → Subscriptions → Resource Groups</w:t>
      </w:r>
      <w:r>
        <w:t xml:space="preserve">. Dev/Test/Prod each get their own subscription for blast-radius isolation. This is foundational education for a team coming from a single Supabase project. (More governance detail in</w:t>
      </w:r>
      <w:r>
        <w:t xml:space="preserve"> </w:t>
      </w:r>
      <w:r>
        <w:rPr>
          <w:rStyle w:val="VerbatimChar"/>
        </w:rPr>
        <w:t xml:space="preserve">04</w:t>
      </w:r>
      <w:r>
        <w:t xml:space="preserve">.)</w:t>
      </w:r>
    </w:p>
    <w:bookmarkEnd w:id="12"/>
    <w:bookmarkStart w:id="13" w:name="X9b897e9a220f12199b1a7b3e48f07fc27c8f68f"/>
    <w:p>
      <w:pPr>
        <w:pStyle w:val="Heading2"/>
      </w:pPr>
      <w:r>
        <w:t xml:space="preserve">The Lovable question — keep it, change where it deploys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Power Apps + Dataverse:</w:t>
      </w:r>
      <w:r>
        <w:t xml:space="preserve"> </w:t>
      </w:r>
      <w:r>
        <w:t xml:space="preserve">total rewrite into low-code; loses the React SPA + the non-dev chat-edit loop.</w:t>
      </w:r>
      <w:r>
        <w:t xml:space="preserve"> </w:t>
      </w:r>
      <w:r>
        <w:rPr>
          <w:b/>
          <w:bCs/>
        </w:rPr>
        <w:t xml:space="preserve">Reject.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GitHub Spark:</w:t>
      </w:r>
      <w:r>
        <w:t xml:space="preserve"> </w:t>
      </w:r>
      <w:r>
        <w:t xml:space="preserve">preview, built for short-lived</w:t>
      </w:r>
      <w:r>
        <w:t xml:space="preserve"> </w:t>
      </w:r>
      <w:r>
        <w:t xml:space="preserve">“micro-apps”</w:t>
      </w:r>
      <w:r>
        <w:t xml:space="preserve"> </w:t>
      </w:r>
      <w:r>
        <w:t xml:space="preserve">(KV/SQLite) — unsuited to a 104K-contact production app.</w:t>
      </w:r>
      <w:r>
        <w:t xml:space="preserve"> </w:t>
      </w:r>
      <w:r>
        <w:rPr>
          <w:b/>
          <w:bCs/>
        </w:rPr>
        <w:t xml:space="preserve">Reject for this workload.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Recommended:</w:t>
      </w:r>
      <w:r>
        <w:t xml:space="preserve"> </w:t>
      </w:r>
      <w:r>
        <w:t xml:space="preserve">keep</w:t>
      </w:r>
      <w:r>
        <w:t xml:space="preserve"> </w:t>
      </w:r>
      <w:r>
        <w:rPr>
          <w:b/>
          <w:bCs/>
        </w:rPr>
        <w:t xml:space="preserve">Lovable as the UI builder</w:t>
      </w:r>
      <w:r>
        <w:t xml:space="preserve">, use its native</w:t>
      </w:r>
      <w:r>
        <w:t xml:space="preserve"> </w:t>
      </w:r>
      <w:r>
        <w:rPr>
          <w:b/>
          <w:bCs/>
        </w:rPr>
        <w:t xml:space="preserve">GitHub sync</w:t>
      </w:r>
      <w:r>
        <w:t xml:space="preserve"> </w:t>
      </w:r>
      <w:r>
        <w:t xml:space="preserve">to push React commits into BW Enterprise GitHub → GitHub Actions deploy to SWA. Non-devs keep their chat-edit velocity; code lives in corporate Git on Azure. What’s lost only if Lovable is removed: the team’s rapid-iteration UX entry point.</w:t>
      </w:r>
    </w:p>
    <w:bookmarkEnd w:id="13"/>
    <w:bookmarkStart w:id="14" w:name="vite-on-swa-gotcha-real-fixable"/>
    <w:p>
      <w:pPr>
        <w:pStyle w:val="Heading2"/>
      </w:pPr>
      <w:r>
        <w:t xml:space="preserve">Vite-on-SWA gotcha (real, fixable)</w:t>
      </w:r>
    </w:p>
    <w:p>
      <w:pPr>
        <w:pStyle w:val="FirstParagraph"/>
      </w:pPr>
      <w:r>
        <w:t xml:space="preserve">SWA templates default to CRA’s</w:t>
      </w:r>
      <w:r>
        <w:t xml:space="preserve"> </w:t>
      </w:r>
      <w:r>
        <w:rPr>
          <w:rStyle w:val="VerbatimChar"/>
        </w:rPr>
        <w:t xml:space="preserve">build/</w:t>
      </w:r>
      <w:r>
        <w:t xml:space="preserve">; Vite outputs</w:t>
      </w:r>
      <w:r>
        <w:t xml:space="preserve"> </w:t>
      </w:r>
      <w:r>
        <w:rPr>
          <w:rStyle w:val="VerbatimChar"/>
        </w:rPr>
        <w:t xml:space="preserve">dist/</w:t>
      </w:r>
      <w:r>
        <w:t xml:space="preserve">, and the SPA fallback can swallow</w:t>
      </w:r>
      <w:r>
        <w:t xml:space="preserve"> </w:t>
      </w:r>
      <w:r>
        <w:rPr>
          <w:rStyle w:val="VerbatimChar"/>
        </w:rPr>
        <w:t xml:space="preserve">/assets/*.js</w:t>
      </w:r>
      <w:r>
        <w:t xml:space="preserve"> </w:t>
      </w:r>
      <w:r>
        <w:t xml:space="preserve">→ blank screen + MIME error. Fix: set</w:t>
      </w:r>
      <w:r>
        <w:t xml:space="preserve"> </w:t>
      </w:r>
      <w:r>
        <w:rPr>
          <w:rStyle w:val="VerbatimChar"/>
        </w:rPr>
        <w:t xml:space="preserve">output_location: "dist"</w:t>
      </w:r>
      <w:r>
        <w:t xml:space="preserve"> </w:t>
      </w:r>
      <w:r>
        <w:t xml:space="preserve">in the Actions YAML</w:t>
      </w:r>
      <w:r>
        <w:t xml:space="preserve"> </w:t>
      </w:r>
      <w:r>
        <w:rPr>
          <w:b/>
          <w:bCs/>
        </w:rPr>
        <w:t xml:space="preserve">and</w:t>
      </w:r>
      <w:r>
        <w:t xml:space="preserve"> </w:t>
      </w:r>
      <w:r>
        <w:t xml:space="preserve">add</w:t>
      </w:r>
      <w:r>
        <w:t xml:space="preserve"> </w:t>
      </w:r>
      <w:r>
        <w:rPr>
          <w:rStyle w:val="VerbatimChar"/>
        </w:rPr>
        <w:t xml:space="preserve">staticwebapp.config.json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navigationFallback.exclude</w:t>
      </w:r>
      <w:r>
        <w:t xml:space="preserve"> </w:t>
      </w:r>
      <w:r>
        <w:t xml:space="preserve">for</w:t>
      </w:r>
      <w:r>
        <w:t xml:space="preserve"> </w:t>
      </w:r>
      <w:r>
        <w:rPr>
          <w:rStyle w:val="VerbatimChar"/>
        </w:rPr>
        <w:t xml:space="preserve">/assets/*</w:t>
      </w:r>
      <w:r>
        <w:t xml:space="preserve">,</w:t>
      </w:r>
      <w:r>
        <w:t xml:space="preserve"> </w:t>
      </w:r>
      <w:r>
        <w:rPr>
          <w:rStyle w:val="VerbatimChar"/>
        </w:rPr>
        <w:t xml:space="preserve">*.js</w:t>
      </w:r>
      <w:r>
        <w:t xml:space="preserve">,</w:t>
      </w:r>
      <w:r>
        <w:t xml:space="preserve"> </w:t>
      </w:r>
      <w:r>
        <w:rPr>
          <w:rStyle w:val="VerbatimChar"/>
        </w:rPr>
        <w:t xml:space="preserve">*.css</w:t>
      </w:r>
      <w:r>
        <w:t xml:space="preserve">. (Exact config in report §4.2.)</w:t>
      </w:r>
    </w:p>
    <w:bookmarkEnd w:id="14"/>
    <w:bookmarkStart w:id="15" w:name="networking-cost"/>
    <w:p>
      <w:pPr>
        <w:pStyle w:val="Heading2"/>
      </w:pPr>
      <w:r>
        <w:t xml:space="preserve">Networking + cost</w:t>
      </w:r>
    </w:p>
    <w:p>
      <w:pPr>
        <w:pStyle w:val="FirstParagraph"/>
      </w:pPr>
      <w:r>
        <w:t xml:space="preserve">Front Door (WAF) optionally in front of SWA; backend ACA/Functions on VNet + Private Endpoints so DB traffic stays on Azure’s backbone.</w:t>
      </w:r>
      <w:r>
        <w:t xml:space="preserve"> </w:t>
      </w:r>
      <w:r>
        <w:rPr>
          <w:b/>
          <w:bCs/>
        </w:rPr>
        <w:t xml:space="preserve">Projected run rate ≈ $230–350/mo</w:t>
      </w:r>
      <w:r>
        <w:t xml:space="preserve"> </w:t>
      </w:r>
      <w:r>
        <w:t xml:space="preserve">(SWA ~$9 + Postgres GP+HA ~$150–250 + ACA ~$20–40 + Web PubSub ~$45 + Blob ~$5 + Key Vault ~$1). Costs balloon only if BW forces dedicated App Service Environments / heavy Logic Apps.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 &amp; Frontend Hosting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