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Database Architecture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9" w:name="database-architecture-hub-and-spoke"/>
    <w:p>
      <w:pPr>
        <w:pStyle w:val="Heading1"/>
      </w:pPr>
      <w:r>
        <w:t xml:space="preserve">03 — Database Architecture (Hub-and-Spoke)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6 min</w:t>
      </w:r>
    </w:p>
    <w:p>
      <w:pPr>
        <w:pStyle w:val="FirstParagraph"/>
      </w:pPr>
      <w:r>
        <w:t xml:space="preserve">The CARR platform isn’t a single database. It’s a</w:t>
      </w:r>
      <w:r>
        <w:t xml:space="preserve"> </w:t>
      </w:r>
      <w:r>
        <w:rPr>
          <w:i/>
          <w:iCs/>
        </w:rPr>
        <w:t xml:space="preserve">spoke</w:t>
      </w:r>
      <w:r>
        <w:t xml:space="preserve"> </w:t>
      </w:r>
      <w:r>
        <w:t xml:space="preserve">that pulls from a much larger</w:t>
      </w:r>
      <w:r>
        <w:t xml:space="preserve"> </w:t>
      </w:r>
      <w:r>
        <w:rPr>
          <w:i/>
          <w:iCs/>
        </w:rPr>
        <w:t xml:space="preserve">hub</w:t>
      </w:r>
      <w:r>
        <w:t xml:space="preserve">. This pattern is what makes the live-intelligence layer (news, trials, grants, patents) work at all — and it’s directly portable into whatever the next-generation Azure-based environment you’ve been discussing with John Katsapis ends up looking like.</w:t>
      </w:r>
    </w:p>
    <w:p>
      <w:r>
        <w:pict>
          <v:rect style="width:0;height:1.5pt" o:hralign="center" o:hrstd="t" o:hr="t"/>
        </w:pict>
      </w:r>
    </w:p>
    <w:bookmarkStart w:id="9" w:name="the-architecture-in-one-diagram"/>
    <w:p>
      <w:pPr>
        <w:pStyle w:val="Heading2"/>
      </w:pPr>
      <w:r>
        <w:t xml:space="preserve">The architecture in one diagram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BIOCREATIVE HUB  ·  Supabase project mjsgtszehjltxmbxtctz     │</w:t>
      </w:r>
      <w:r>
        <w:br/>
      </w:r>
      <w:r>
        <w:rPr>
          <w:rStyle w:val="VerbatimChar"/>
        </w:rPr>
        <w:t xml:space="preserve">│  "Life Science Market Database"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 17,290 life-science companies (100% classified)               │</w:t>
      </w:r>
      <w:r>
        <w:br/>
      </w:r>
      <w:r>
        <w:rPr>
          <w:rStyle w:val="VerbatimChar"/>
        </w:rPr>
        <w:t xml:space="preserve">│   228,000+ contacts                                             │</w:t>
      </w:r>
      <w:r>
        <w:br/>
      </w:r>
      <w:r>
        <w:rPr>
          <w:rStyle w:val="VerbatimChar"/>
        </w:rPr>
        <w:t xml:space="preserve">│   3,400+ clinical trials  ·  2,900+ NIH grants                  │</w:t>
      </w:r>
      <w:r>
        <w:br/>
      </w:r>
      <w:r>
        <w:rPr>
          <w:rStyle w:val="VerbatimChar"/>
        </w:rPr>
        <w:t xml:space="preserve">│   2,900+ patents  ·  2,800+ SEC filings                         │</w:t>
      </w:r>
      <w:r>
        <w:br/>
      </w:r>
      <w:r>
        <w:rPr>
          <w:rStyle w:val="VerbatimChar"/>
        </w:rPr>
        <w:t xml:space="preserve">│   4,842 academic labs  ·  14,019 principal investigators        │</w:t>
      </w:r>
      <w:r>
        <w:br/>
      </w:r>
      <w:r>
        <w:rPr>
          <w:rStyle w:val="VerbatimChar"/>
        </w:rPr>
        <w:t xml:space="preserve">│   Hourly news pipeline, matched trials + grants                  │</w:t>
      </w:r>
      <w:r>
        <w:br/>
      </w:r>
      <w:r>
        <w:rPr>
          <w:rStyle w:val="VerbatimChar"/>
        </w:rPr>
        <w:t xml:space="preserve">└──────────────┬─────────────────────────────────────────────────┘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│                            </w:t>
      </w:r>
      <w:r>
        <w:br/>
      </w:r>
      <w:r>
        <w:rPr>
          <w:rStyle w:val="VerbatimChar"/>
        </w:rPr>
        <w:t xml:space="preserve">               │   sync RPC functions (vault-secured PostgREST)</w:t>
      </w:r>
      <w:r>
        <w:br/>
      </w:r>
      <w:r>
        <w:rPr>
          <w:rStyle w:val="VerbatimChar"/>
        </w:rPr>
        <w:t xml:space="preserve">               │   - sync_cgt_accounts_from_hub()   (weekly Sun 2am)</w:t>
      </w:r>
      <w:r>
        <w:br/>
      </w:r>
      <w:r>
        <w:rPr>
          <w:rStyle w:val="VerbatimChar"/>
        </w:rPr>
        <w:t xml:space="preserve">               │   - sync_clinical_trials_from_hub()(weekly Sun 3am)</w:t>
      </w:r>
      <w:r>
        <w:br/>
      </w:r>
      <w:r>
        <w:rPr>
          <w:rStyle w:val="VerbatimChar"/>
        </w:rPr>
        <w:t xml:space="preserve">               │   - sync_grants_from_hub()         (weekly Sun 4am)</w:t>
      </w:r>
      <w:r>
        <w:br/>
      </w:r>
      <w:r>
        <w:rPr>
          <w:rStyle w:val="VerbatimChar"/>
        </w:rPr>
        <w:t xml:space="preserve">               │   - sync_news_from_life_science()  (every 4h)</w:t>
      </w:r>
      <w:r>
        <w:br/>
      </w:r>
      <w:r>
        <w:rPr>
          <w:rStyle w:val="VerbatimChar"/>
        </w:rPr>
        <w:t xml:space="preserve">               │   - sync_academic_labs_from_hub()  (manual / re-runnable)</w:t>
      </w:r>
      <w:r>
        <w:br/>
      </w:r>
      <w:r>
        <w:rPr>
          <w:rStyle w:val="VerbatimChar"/>
        </w:rPr>
        <w:t xml:space="preserve">               │   - sync_academic_pis_from_hub()   (manual / re-runnable)</w:t>
      </w:r>
      <w:r>
        <w:br/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CARR SPOKE  ·  Supabase project drzxmokguptvwptuqjcv           │</w:t>
      </w:r>
      <w:r>
        <w:br/>
      </w:r>
      <w:r>
        <w:rPr>
          <w:rStyle w:val="VerbatimChar"/>
        </w:rPr>
        <w:t xml:space="preserve">│  "carr-biosystems-hub" 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 3,964 CGT-relevant companies (filtered from Hub TAM)          │</w:t>
      </w:r>
      <w:r>
        <w:br/>
      </w:r>
      <w:r>
        <w:rPr>
          <w:rStyle w:val="VerbatimChar"/>
        </w:rPr>
        <w:t xml:space="preserve">│   104,333 contacts (Hub-sourced + Clay + PhantomBuster)         │</w:t>
      </w:r>
      <w:r>
        <w:br/>
      </w:r>
      <w:r>
        <w:rPr>
          <w:rStyle w:val="VerbatimChar"/>
        </w:rPr>
        <w:t xml:space="preserve">│   704 news articles (matched to CARR's targets)                 │</w:t>
      </w:r>
      <w:r>
        <w:br/>
      </w:r>
      <w:r>
        <w:rPr>
          <w:rStyle w:val="VerbatimChar"/>
        </w:rPr>
        <w:t xml:space="preserve">│   1,862 clinical trials (matched by sponsor)                    │</w:t>
      </w:r>
      <w:r>
        <w:br/>
      </w:r>
      <w:r>
        <w:rPr>
          <w:rStyle w:val="VerbatimChar"/>
        </w:rPr>
        <w:t xml:space="preserve">│   5,000 NIH grants (matched to academic accounts)       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 18 Edge Functions · 17 cron jobs · 95 views · 111 functions   │</w:t>
      </w:r>
      <w:r>
        <w:br/>
      </w:r>
      <w:r>
        <w:rPr>
          <w:rStyle w:val="VerbatimChar"/>
        </w:rPr>
        <w:t xml:space="preserve">│   446 migrations of accumulated schema work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9"/>
    <w:bookmarkStart w:id="10" w:name="why-hub-and-spoke-not-a-single-database"/>
    <w:p>
      <w:pPr>
        <w:pStyle w:val="Heading2"/>
      </w:pPr>
      <w:r>
        <w:t xml:space="preserve">Why hub-and-spoke (not a single database)</w:t>
      </w:r>
    </w:p>
    <w:p>
      <w:pPr>
        <w:pStyle w:val="FirstParagraph"/>
      </w:pPr>
      <w:r>
        <w:t xml:space="preserve">Three reasons:</w:t>
      </w:r>
    </w:p>
    <w:p>
      <w:pPr>
        <w:pStyle w:val="BodyText"/>
      </w:pPr>
      <w:r>
        <w:rPr>
          <w:b/>
          <w:bCs/>
        </w:rPr>
        <w:t xml:space="preserve">1. The Hub is multi-client.</w:t>
      </w:r>
      <w:r>
        <w:t xml:space="preserve"> </w:t>
      </w:r>
      <w:r>
        <w:t xml:space="preserve">It’s where BioCreative does universe-wide research and enrichment. Clinical trial matching, news scraping, persona research, lab discovery — these run once at the Hub and flow into every spoke. If we ran them per-client, each client would pay full price for work that’s largely shared (every CGT therapeutic-developer company exists in every CGT-focused engagement’s universe).</w:t>
      </w:r>
    </w:p>
    <w:p>
      <w:pPr>
        <w:pStyle w:val="BodyText"/>
      </w:pPr>
      <w:r>
        <w:rPr>
          <w:b/>
          <w:bCs/>
        </w:rPr>
        <w:t xml:space="preserve">2. CARR owns its spoke.</w:t>
      </w:r>
      <w:r>
        <w:t xml:space="preserve"> </w:t>
      </w:r>
      <w:r>
        <w:t xml:space="preserve">The CARR Supabase project (</w:t>
      </w:r>
      <w:r>
        <w:rPr>
          <w:rStyle w:val="VerbatimChar"/>
        </w:rPr>
        <w:t xml:space="preserve">drzxmokguptvwptuqjcv</w:t>
      </w:r>
      <w:r>
        <w:t xml:space="preserve">) is in CARR’s organization. CARR-specific data, edits, custom enrichment, pipeline activity, rep notes — they all live in CARR’s DB. If the engagement structure ever changes, CARR keeps the spoke. Hub-side data is queryable read-only.</w:t>
      </w:r>
    </w:p>
    <w:p>
      <w:pPr>
        <w:pStyle w:val="BodyText"/>
      </w:pPr>
      <w:r>
        <w:rPr>
          <w:b/>
          <w:bCs/>
        </w:rPr>
        <w:t xml:space="preserve">3. Sync = source-of-truth flow.</w:t>
      </w:r>
      <w:r>
        <w:t xml:space="preserve"> </w:t>
      </w:r>
      <w:r>
        <w:t xml:space="preserve">Sync functions are explicit, logged, and one-way for Hub→Spoke data. The spoke can override anything (e.g., CARR’s</w:t>
      </w:r>
      <w:r>
        <w:t xml:space="preserve"> </w:t>
      </w:r>
      <w:r>
        <w:rPr>
          <w:rStyle w:val="VerbatimChar"/>
        </w:rPr>
        <w:t xml:space="preserve">carr_enrichment_data</w:t>
      </w:r>
      <w:r>
        <w:t xml:space="preserve"> </w:t>
      </w:r>
      <w:r>
        <w:t xml:space="preserve">column lives next to Hub’s</w:t>
      </w:r>
      <w:r>
        <w:t xml:space="preserve"> </w:t>
      </w:r>
      <w:r>
        <w:rPr>
          <w:rStyle w:val="VerbatimChar"/>
        </w:rPr>
        <w:t xml:space="preserve">enrichment_data</w:t>
      </w:r>
      <w:r>
        <w:t xml:space="preserve"> </w:t>
      </w:r>
      <w:r>
        <w:t xml:space="preserve">— Hub never overwrites CARR’s). Logs are in</w:t>
      </w:r>
      <w:r>
        <w:t xml:space="preserve"> </w:t>
      </w:r>
      <w:r>
        <w:rPr>
          <w:rStyle w:val="VerbatimChar"/>
        </w:rPr>
        <w:t xml:space="preserve">sync_log</w:t>
      </w:r>
      <w:r>
        <w:t xml:space="preserve"> </w:t>
      </w:r>
      <w:r>
        <w:t xml:space="preserve">(1,972 logged operations as of last count).</w:t>
      </w:r>
    </w:p>
    <w:p>
      <w:r>
        <w:pict>
          <v:rect style="width:0;height:1.5pt" o:hralign="center" o:hrstd="t" o:hr="t"/>
        </w:pict>
      </w:r>
    </w:p>
    <w:bookmarkEnd w:id="10"/>
    <w:bookmarkStart w:id="14" w:name="what-lives-in-the-carr-spoke"/>
    <w:p>
      <w:pPr>
        <w:pStyle w:val="Heading2"/>
      </w:pPr>
      <w:r>
        <w:t xml:space="preserve">What lives in the CARR spoke</w:t>
      </w:r>
    </w:p>
    <w:bookmarkStart w:id="11" w:name="schema-counts-as-of-may-5-2026-audit"/>
    <w:p>
      <w:pPr>
        <w:pStyle w:val="Heading3"/>
      </w:pPr>
      <w:r>
        <w:t xml:space="preserve">Schema counts (as of May 5, 2026 audit)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Tables</w:t>
            </w:r>
          </w:p>
        </w:tc>
        <w:tc>
          <w:tcPr/>
          <w:p>
            <w:pPr>
              <w:pStyle w:val="Compact"/>
            </w:pPr>
            <w:r>
              <w:t xml:space="preserve">80+</w:t>
            </w:r>
          </w:p>
        </w:tc>
        <w:tc>
          <w:tcPr/>
          <w:p>
            <w:pPr>
              <w:pStyle w:val="Compact"/>
            </w:pPr>
            <w:r>
              <w:t xml:space="preserve">Plus 95 views and several materialized rollups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Migrations applied</w:t>
            </w:r>
          </w:p>
        </w:tc>
        <w:tc>
          <w:tcPr/>
          <w:p>
            <w:pPr>
              <w:pStyle w:val="Compact"/>
            </w:pPr>
            <w:r>
              <w:t xml:space="preserve">446</w:t>
            </w:r>
          </w:p>
        </w:tc>
        <w:tc>
          <w:tcPr/>
          <w:p>
            <w:pPr>
              <w:pStyle w:val="Compact"/>
            </w:pPr>
            <w:r>
              <w:t xml:space="preserve">Each represents one structural decision, named + dated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Edge Functions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All deployed at current versions (see</w:t>
            </w:r>
            <w:r>
              <w:t xml:space="preserve"> </w:t>
            </w:r>
            <w:r>
              <w:rPr>
                <w:rStyle w:val="VerbatimChar"/>
              </w:rPr>
              <w:t xml:space="preserve">CARR_LAUNCH_READINESS_2026-05.md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Database functions</w:t>
            </w:r>
          </w:p>
        </w:tc>
        <w:tc>
          <w:tcPr/>
          <w:p>
            <w:pPr>
              <w:pStyle w:val="Compact"/>
            </w:pPr>
            <w:r>
              <w:t xml:space="preserve">111</w:t>
            </w:r>
          </w:p>
        </w:tc>
        <w:tc>
          <w:tcPr/>
          <w:p>
            <w:pPr>
              <w:pStyle w:val="Compact"/>
            </w:pPr>
            <w:r>
              <w:t xml:space="preserve">RPCs, triggers, sync functions, classifiers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Cron jobs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16 healthy + 1 fixed mid-May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Indexes</w:t>
            </w:r>
          </w:p>
        </w:tc>
        <w:tc>
          <w:tcPr/>
          <w:p>
            <w:pPr>
              <w:pStyle w:val="Compact"/>
            </w:pPr>
            <w:r>
              <w:t xml:space="preserve">200+</w:t>
            </w:r>
          </w:p>
        </w:tc>
        <w:tc>
          <w:tcPr/>
          <w:p>
            <w:pPr>
              <w:pStyle w:val="Compact"/>
            </w:pPr>
            <w:r>
              <w:t xml:space="preserve">Including 13 FK indexes added in the May Phase-2 security wave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policies</w:t>
            </w:r>
          </w:p>
        </w:tc>
        <w:tc>
          <w:tcPr/>
          <w:p>
            <w:pPr>
              <w:pStyle w:val="Compact"/>
            </w:pPr>
            <w:r>
              <w:t xml:space="preserve">100+</w:t>
            </w:r>
          </w:p>
        </w:tc>
        <w:tc>
          <w:tcPr/>
          <w:p>
            <w:pPr>
              <w:pStyle w:val="Compact"/>
            </w:pPr>
            <w:r>
              <w:t xml:space="preserve">Locked down across 3 audit waves</w:t>
            </w:r>
          </w:p>
        </w:tc>
      </w:tr>
    </w:tbl>
    <w:bookmarkEnd w:id="11"/>
    <w:bookmarkStart w:id="12" w:name="core-tables-the-ones-that-matter"/>
    <w:p>
      <w:pPr>
        <w:pStyle w:val="Heading3"/>
      </w:pPr>
      <w:r>
        <w:t xml:space="preserve">Core tables (the ones that matter)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Table</w:t>
            </w:r>
          </w:p>
        </w:tc>
        <w:tc>
          <w:tcPr/>
          <w:p>
            <w:pPr>
              <w:pStyle w:val="Compact"/>
            </w:pPr>
            <w:r>
              <w:t xml:space="preserve">What it is</w:t>
            </w:r>
          </w:p>
        </w:tc>
        <w:tc>
          <w:tcPr/>
          <w:p>
            <w:pPr>
              <w:pStyle w:val="Compact"/>
            </w:pPr>
            <w:r>
              <w:t xml:space="preserve">Rows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companies</w:t>
            </w:r>
          </w:p>
        </w:tc>
        <w:tc>
          <w:tcPr/>
          <w:p>
            <w:pPr>
              <w:pStyle w:val="Compact"/>
            </w:pPr>
            <w:r>
              <w:t xml:space="preserve">Account universe</w:t>
            </w:r>
          </w:p>
        </w:tc>
        <w:tc>
          <w:tcPr/>
          <w:p>
            <w:pPr>
              <w:pStyle w:val="Compact"/>
            </w:pPr>
            <w:r>
              <w:t xml:space="preserve">3,964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contacts</w:t>
            </w:r>
          </w:p>
        </w:tc>
        <w:tc>
          <w:tcPr/>
          <w:p>
            <w:pPr>
              <w:pStyle w:val="Compact"/>
            </w:pPr>
            <w:r>
              <w:t xml:space="preserve">All discovered people</w:t>
            </w:r>
          </w:p>
        </w:tc>
        <w:tc>
          <w:tcPr/>
          <w:p>
            <w:pPr>
              <w:pStyle w:val="Compact"/>
            </w:pPr>
            <w:r>
              <w:t xml:space="preserve">104,333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outreach_messages</w:t>
            </w:r>
          </w:p>
        </w:tc>
        <w:tc>
          <w:tcPr/>
          <w:p>
            <w:pPr>
              <w:pStyle w:val="Compact"/>
            </w:pPr>
            <w:r>
              <w:t xml:space="preserve">Every generated message + delivery state</w:t>
            </w:r>
          </w:p>
        </w:tc>
        <w:tc>
          <w:tcPr/>
          <w:p>
            <w:pPr>
              <w:pStyle w:val="Compact"/>
            </w:pPr>
            <w:r>
              <w:t xml:space="preserve">1,635+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outreach_messaging_matrix</w:t>
            </w:r>
          </w:p>
        </w:tc>
        <w:tc>
          <w:tcPr/>
          <w:p>
            <w:pPr>
              <w:pStyle w:val="Compact"/>
            </w:pPr>
            <w:r>
              <w:t xml:space="preserve">The 38-row SSO matrix (§08)</w:t>
            </w:r>
          </w:p>
        </w:tc>
        <w:tc>
          <w:tcPr/>
          <w:p>
            <w:pPr>
              <w:pStyle w:val="Compact"/>
            </w:pPr>
            <w:r>
              <w:t xml:space="preserve">38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client_config</w:t>
            </w:r>
          </w:p>
        </w:tc>
        <w:tc>
          <w:tcPr/>
          <w:p>
            <w:pPr>
              <w:pStyle w:val="Compact"/>
            </w:pPr>
            <w:r>
              <w:t xml:space="preserve">Positioning JSON, sender mappings, etc.</w:t>
            </w:r>
          </w:p>
        </w:tc>
        <w:tc>
          <w:tcPr/>
          <w:p>
            <w:pPr>
              <w:pStyle w:val="Compact"/>
            </w:pPr>
            <w:r>
              <w:t xml:space="preserve">1 client config row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news_intelligence</w:t>
            </w:r>
          </w:p>
        </w:tc>
        <w:tc>
          <w:tcPr/>
          <w:p>
            <w:pPr>
              <w:pStyle w:val="Compact"/>
            </w:pPr>
            <w:r>
              <w:t xml:space="preserve">Hub-synced news matched to CARR targets</w:t>
            </w:r>
          </w:p>
        </w:tc>
        <w:tc>
          <w:tcPr/>
          <w:p>
            <w:pPr>
              <w:pStyle w:val="Compact"/>
            </w:pPr>
            <w:r>
              <w:t xml:space="preserve">704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account_clinical_trials</w:t>
            </w:r>
          </w:p>
        </w:tc>
        <w:tc>
          <w:tcPr/>
          <w:p>
            <w:pPr>
              <w:pStyle w:val="Compact"/>
            </w:pPr>
            <w:r>
              <w:t xml:space="preserve">Hub-synced trials matched to accounts</w:t>
            </w:r>
          </w:p>
        </w:tc>
        <w:tc>
          <w:tcPr/>
          <w:p>
            <w:pPr>
              <w:pStyle w:val="Compact"/>
            </w:pPr>
            <w:r>
              <w:t xml:space="preserve">1,862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account_grants</w:t>
            </w:r>
          </w:p>
        </w:tc>
        <w:tc>
          <w:tcPr/>
          <w:p>
            <w:pPr>
              <w:pStyle w:val="Compact"/>
            </w:pPr>
            <w:r>
              <w:t xml:space="preserve">Hub-synced grants matched to accounts</w:t>
            </w:r>
          </w:p>
        </w:tc>
        <w:tc>
          <w:tcPr/>
          <w:p>
            <w:pPr>
              <w:pStyle w:val="Compact"/>
            </w:pPr>
            <w:r>
              <w:t xml:space="preserve">5,000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heyreach_campaigns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heyreach_leads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heyreach_connections</w:t>
            </w:r>
          </w:p>
        </w:tc>
        <w:tc>
          <w:tcPr/>
          <w:p>
            <w:pPr>
              <w:pStyle w:val="Compact"/>
            </w:pPr>
            <w:r>
              <w:t xml:space="preserve">LinkedIn pipeline state</w:t>
            </w:r>
          </w:p>
        </w:tc>
        <w:tc>
          <w:tcPr/>
          <w:p>
            <w:pPr>
              <w:pStyle w:val="Compact"/>
            </w:pPr>
            <w:r>
              <w:t xml:space="preserve">37 / 632 / 147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bison_email_accounts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bison_campaigns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bison_replies</w:t>
            </w:r>
          </w:p>
        </w:tc>
        <w:tc>
          <w:tcPr/>
          <w:p>
            <w:pPr>
              <w:pStyle w:val="Compact"/>
            </w:pPr>
            <w:r>
              <w:t xml:space="preserve">Email pipeline state</w:t>
            </w:r>
          </w:p>
        </w:tc>
        <w:tc>
          <w:tcPr/>
          <w:p>
            <w:pPr>
              <w:pStyle w:val="Compact"/>
            </w:pPr>
            <w:r>
              <w:t xml:space="preserve">5 / 30 / live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team_profiles</w:t>
            </w:r>
          </w:p>
        </w:tc>
        <w:tc>
          <w:tcPr/>
          <w:p>
            <w:pPr>
              <w:pStyle w:val="Compact"/>
            </w:pPr>
            <w:r>
              <w:t xml:space="preserve">9 sending personas (Jake, Jeff, Andrew, Bethanne, Nico + EMEA/APAC + Soukaina + Steffen)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do_not_contact_list</w:t>
            </w:r>
          </w:p>
        </w:tc>
        <w:tc>
          <w:tcPr/>
          <w:p>
            <w:pPr>
              <w:pStyle w:val="Compact"/>
            </w:pPr>
            <w:r>
              <w:t xml:space="preserve">Compliance list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pipeline_opportunities</w:t>
            </w:r>
          </w:p>
        </w:tc>
        <w:tc>
          <w:tcPr/>
          <w:p>
            <w:pPr>
              <w:pStyle w:val="Compact"/>
            </w:pPr>
            <w:r>
              <w:t xml:space="preserve">Miller Heiman opps</w:t>
            </w:r>
          </w:p>
        </w:tc>
        <w:tc>
          <w:tcPr/>
          <w:p>
            <w:pPr>
              <w:pStyle w:val="Compact"/>
            </w:pPr>
            <w:r>
              <w:t xml:space="preserve">~0 active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rep_note_validations</w:t>
            </w:r>
          </w:p>
        </w:tc>
        <w:tc>
          <w:tcPr/>
          <w:p>
            <w:pPr>
              <w:pStyle w:val="Compact"/>
            </w:pPr>
            <w:r>
              <w:t xml:space="preserve">HITL validation of rep-entered notes</w:t>
            </w:r>
          </w:p>
        </w:tc>
        <w:tc>
          <w:tcPr/>
          <w:p>
            <w:pPr>
              <w:pStyle w:val="Compact"/>
            </w:pPr>
            <w:r>
              <w:t xml:space="preserve">518</w:t>
            </w:r>
          </w:p>
        </w:tc>
      </w:tr>
    </w:tbl>
    <w:bookmarkEnd w:id="12"/>
    <w:bookmarkStart w:id="13" w:name="schema-discipline"/>
    <w:p>
      <w:pPr>
        <w:pStyle w:val="Heading3"/>
      </w:pPr>
      <w:r>
        <w:t xml:space="preserve">Schema discipline</w:t>
      </w:r>
    </w:p>
    <w:p>
      <w:pPr>
        <w:pStyle w:val="FirstParagraph"/>
      </w:pPr>
      <w:r>
        <w:t xml:space="preserve">The 446 migrations aren’t an accident — they’re how every structural change is captured atomically:</w:t>
      </w:r>
      <w:r>
        <w:t xml:space="preserve"> </w:t>
      </w:r>
      <w:r>
        <w:t xml:space="preserve">- Migration name + timestamp = full audit log of what changed and when</w:t>
      </w:r>
      <w:r>
        <w:t xml:space="preserve"> </w:t>
      </w:r>
      <w:r>
        <w:t xml:space="preserve">- Migrations roll forward; nothing is silently mutated</w:t>
      </w:r>
      <w:r>
        <w:t xml:space="preserve"> </w:t>
      </w:r>
      <w:r>
        <w:t xml:space="preserve">- A migration like</w:t>
      </w:r>
      <w:r>
        <w:t xml:space="preserve"> </w:t>
      </w:r>
      <w:r>
        <w:rPr>
          <w:rStyle w:val="VerbatimChar"/>
        </w:rPr>
        <w:t xml:space="preserve">add_account_signals_snapshot_to_outreach_messages</w:t>
      </w:r>
      <w:r>
        <w:t xml:space="preserve"> </w:t>
      </w:r>
      <w:r>
        <w:t xml:space="preserve">(May 11) shows exactly what was added, why, and produces a partial index that can be queried for adoption</w:t>
      </w:r>
    </w:p>
    <w:p>
      <w:pPr>
        <w:pStyle w:val="BodyText"/>
      </w:pPr>
      <w:r>
        <w:t xml:space="preserve">This is how the system stays portable: any future migration of the CARR spoke to Azure / PostgreSQL Flexible Server / a CARR-managed Postgres instance can replay these migrations to reproduce the schema.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security-posture"/>
    <w:p>
      <w:pPr>
        <w:pStyle w:val="Heading2"/>
      </w:pPr>
      <w:r>
        <w:t xml:space="preserve">Security posture</w:t>
      </w:r>
    </w:p>
    <w:p>
      <w:pPr>
        <w:pStyle w:val="FirstParagraph"/>
      </w:pPr>
      <w:r>
        <w:t xml:space="preserve">The CARR spoke went through</w:t>
      </w:r>
      <w:r>
        <w:t xml:space="preserve"> </w:t>
      </w:r>
      <w:r>
        <w:rPr>
          <w:b/>
          <w:bCs/>
        </w:rPr>
        <w:t xml:space="preserve">three security audit waves</w:t>
      </w:r>
      <w:r>
        <w:t xml:space="preserve"> </w:t>
      </w:r>
      <w:r>
        <w:t xml:space="preserve">between Months 1–3 (documented in</w:t>
      </w:r>
      <w:r>
        <w:t xml:space="preserve"> </w:t>
      </w:r>
      <w:r>
        <w:rPr>
          <w:rStyle w:val="VerbatimChar"/>
        </w:rPr>
        <w:t xml:space="preserve">CARR_MONTH_THREE_REVIEW.md</w:t>
      </w:r>
      <w:r>
        <w:t xml:space="preserve"> </w:t>
      </w:r>
      <w:r>
        <w:t xml:space="preserve">§2). Result:</w:t>
      </w:r>
    </w:p>
    <w:p>
      <w:pPr>
        <w:pStyle w:val="Compact"/>
        <w:numPr>
          <w:ilvl w:val="0"/>
          <w:numId w:val="1001"/>
        </w:numPr>
      </w:pPr>
      <w:r>
        <w:t xml:space="preserve">All views set to</w:t>
      </w:r>
      <w:r>
        <w:t xml:space="preserve"> </w:t>
      </w:r>
      <w:r>
        <w:rPr>
          <w:rStyle w:val="VerbatimChar"/>
        </w:rPr>
        <w:t xml:space="preserve">SECURITY_INVOKER</w:t>
      </w:r>
      <w:r>
        <w:t xml:space="preserve"> </w:t>
      </w:r>
      <w:r>
        <w:t xml:space="preserve">(no view-level privilege escalation)</w:t>
      </w:r>
    </w:p>
    <w:p>
      <w:pPr>
        <w:pStyle w:val="Compact"/>
        <w:numPr>
          <w:ilvl w:val="0"/>
          <w:numId w:val="1001"/>
        </w:numPr>
      </w:pPr>
      <w:r>
        <w:t xml:space="preserve">Anon-role policies removed where they existed</w:t>
      </w:r>
    </w:p>
    <w:p>
      <w:pPr>
        <w:pStyle w:val="Compact"/>
        <w:numPr>
          <w:ilvl w:val="0"/>
          <w:numId w:val="1001"/>
        </w:numPr>
      </w:pPr>
      <w:r>
        <w:t xml:space="preserve">All</w:t>
      </w:r>
      <w:r>
        <w:t xml:space="preserve"> </w:t>
      </w:r>
      <w:r>
        <w:rPr>
          <w:rStyle w:val="VerbatimChar"/>
        </w:rPr>
        <w:t xml:space="preserve">SECURITY DEFINER</w:t>
      </w:r>
      <w:r>
        <w:t xml:space="preserve"> </w:t>
      </w:r>
      <w:r>
        <w:t xml:space="preserve">functions in</w:t>
      </w:r>
      <w:r>
        <w:t xml:space="preserve"> </w:t>
      </w:r>
      <w:r>
        <w:rPr>
          <w:rStyle w:val="VerbatimChar"/>
        </w:rPr>
        <w:t xml:space="preserve">public</w:t>
      </w:r>
      <w:r>
        <w:t xml:space="preserve"> </w:t>
      </w:r>
      <w:r>
        <w:t xml:space="preserve">schema have explicit safe</w:t>
      </w:r>
      <w:r>
        <w:t xml:space="preserve"> </w:t>
      </w:r>
      <w:r>
        <w:rPr>
          <w:rStyle w:val="VerbatimChar"/>
        </w:rPr>
        <w:t xml:space="preserve">search_path</w:t>
      </w:r>
      <w:r>
        <w:t xml:space="preserve"> </w:t>
      </w:r>
      <w:r>
        <w:t xml:space="preserve">(verified May 5 audit —</w:t>
      </w:r>
      <w:r>
        <w:t xml:space="preserve"> </w:t>
      </w:r>
      <w:r>
        <w:rPr>
          <w:rStyle w:val="VerbatimChar"/>
        </w:rPr>
        <w:t xml:space="preserve">CARR_LAUNCH_READINESS_2026-05.md</w:t>
      </w:r>
      <w:r>
        <w:t xml:space="preserve"> </w:t>
      </w:r>
      <w:r>
        <w:t xml:space="preserve">§</w:t>
      </w:r>
      <w:r>
        <w:t xml:space="preserve">“Search-Path Regression Check”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Webhook idempotency enforced by unique constraints (HeyReach</w:t>
      </w:r>
      <w:r>
        <w:t xml:space="preserve"> </w:t>
      </w:r>
      <w:r>
        <w:rPr>
          <w:rStyle w:val="VerbatimChar"/>
        </w:rPr>
        <w:t xml:space="preserve">eventId</w:t>
      </w:r>
      <w:r>
        <w:t xml:space="preserve">, EmailBison</w:t>
      </w:r>
      <w:r>
        <w:t xml:space="preserve"> </w:t>
      </w:r>
      <w:r>
        <w:rPr>
          <w:rStyle w:val="VerbatimChar"/>
        </w:rPr>
        <w:t xml:space="preserve">event_id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All API keys in</w:t>
      </w:r>
      <w:r>
        <w:t xml:space="preserve"> </w:t>
      </w:r>
      <w:r>
        <w:rPr>
          <w:rStyle w:val="VerbatimChar"/>
        </w:rPr>
        <w:t xml:space="preserve">vault.decrypted_secrets</w:t>
      </w:r>
      <w:r>
        <w:t xml:space="preserve">, never in code or env files</w:t>
      </w:r>
    </w:p>
    <w:p>
      <w:pPr>
        <w:pStyle w:val="FirstParagraph"/>
      </w:pPr>
      <w:r>
        <w:t xml:space="preserve">This matters because before scaling outbound volume, an unprotected view or an injectable function could leak a target list or break compliance. The audit waves cost time in Month 3 but are non-negotiable before email sends scale.</w:t>
      </w:r>
    </w:p>
    <w:p>
      <w:r>
        <w:pict>
          <v:rect style="width:0;height:1.5pt" o:hralign="center" o:hrstd="t" o:hr="t"/>
        </w:pict>
      </w:r>
    </w:p>
    <w:bookmarkEnd w:id="15"/>
    <w:bookmarkStart w:id="16" w:name="Xbc1c5e4358e6a901d67356fbf45688f2df61408"/>
    <w:p>
      <w:pPr>
        <w:pStyle w:val="Heading2"/>
      </w:pPr>
      <w:r>
        <w:t xml:space="preserve">How this transfers to Azure (when/if you migrate)</w:t>
      </w:r>
    </w:p>
    <w:p>
      <w:pPr>
        <w:pStyle w:val="FirstParagraph"/>
      </w:pPr>
      <w:r>
        <w:t xml:space="preserve">The hub-and-spoke pattern is database-agnostic. The components that move 1:1: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Schema</w:t>
      </w:r>
      <w:r>
        <w:t xml:space="preserve"> </w:t>
      </w:r>
      <w:r>
        <w:t xml:space="preserve">(446 migrations) → SQL is standard PostgreSQL; replays on Azure Database for PostgreSQL with minor adjustments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RLS policies</w:t>
      </w:r>
      <w:r>
        <w:t xml:space="preserve"> </w:t>
      </w:r>
      <w:r>
        <w:t xml:space="preserve">→ Identical, RLS is PostgreSQL-native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Edge Functions</w:t>
      </w:r>
      <w:r>
        <w:t xml:space="preserve"> </w:t>
      </w:r>
      <w:r>
        <w:t xml:space="preserve">(18 Deno-runtime functions) → Port to Azure Functions (Node.js or Python runtime)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Cron jobs</w:t>
      </w:r>
      <w:r>
        <w:t xml:space="preserve"> </w:t>
      </w:r>
      <w:r>
        <w:t xml:space="preserve">(17 pg_cron) → Either keep on Azure PG (it supports pg_cron) or move to Azure Functions Timer Triggers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Vault</w:t>
      </w:r>
      <w:r>
        <w:t xml:space="preserve"> </w:t>
      </w:r>
      <w:r>
        <w:t xml:space="preserve">→ Azure Key Vault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Sync functions</w:t>
      </w:r>
      <w:r>
        <w:t xml:space="preserve"> </w:t>
      </w:r>
      <w:r>
        <w:t xml:space="preserve">→ HTTP calls to Hub’s PostgREST API — work identically from any client</w:t>
      </w:r>
    </w:p>
    <w:p>
      <w:pPr>
        <w:pStyle w:val="FirstParagraph"/>
      </w:pPr>
      <w:r>
        <w:t xml:space="preserve">The piece that wouldn’t transfer cleanly is the Supabase realtime/auth layer — but that’s the platform layer, not the data architecture. See</w:t>
      </w:r>
      <w:r>
        <w:t xml:space="preserve"> </w:t>
      </w:r>
      <w:r>
        <w:rPr>
          <w:rStyle w:val="VerbatimChar"/>
        </w:rPr>
        <w:t xml:space="preserve">docs/CARR_MONTH_FOUR_PLUS_ROADMAP.md</w:t>
      </w:r>
      <w:r>
        <w:t xml:space="preserve"> </w:t>
      </w:r>
      <w:r>
        <w:t xml:space="preserve">§4 (Option C: Enterprise Migration) for the full Azure path.</w:t>
      </w:r>
    </w:p>
    <w:p>
      <w:r>
        <w:pict>
          <v:rect style="width:0;height:1.5pt" o:hralign="center" o:hrstd="t" o:hr="t"/>
        </w:pict>
      </w:r>
    </w:p>
    <w:bookmarkEnd w:id="16"/>
    <w:bookmarkStart w:id="17" w:name="what-this-layer-looks-like-elsewhere"/>
    <w:p>
      <w:pPr>
        <w:pStyle w:val="Heading2"/>
      </w:pPr>
      <w:r>
        <w:t xml:space="preserve">What this layer looks like elsewhere</w:t>
      </w:r>
    </w:p>
    <w:p>
      <w:pPr>
        <w:pStyle w:val="FirstParagraph"/>
      </w:pPr>
      <w:r>
        <w:t xml:space="preserve">Commercial alternatives to building a hub-and-spoke data platform: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Multi-tenant data warehouse</w:t>
            </w:r>
          </w:p>
        </w:tc>
        <w:tc>
          <w:tcPr/>
          <w:p>
            <w:pPr>
              <w:pStyle w:val="Compact"/>
            </w:pPr>
            <w:r>
              <w:t xml:space="preserve">Snowflake / Databricks / BigQuery + reverse-ETL (Hightouch, Census)</w:t>
            </w:r>
          </w:p>
        </w:tc>
        <w:tc>
          <w:tcPr/>
          <w:p>
            <w:pPr>
              <w:pStyle w:val="Compact"/>
            </w:pPr>
            <w:r>
              <w:t xml:space="preserve">Snowflake’s published list price is $40+/credit; a small team typically lands in the $1K–$5K/mo range for usage alone. Hightouch’s</w:t>
            </w:r>
            <w:r>
              <w:t xml:space="preserve"> </w:t>
            </w:r>
            <w:r>
              <w:t xml:space="preserve">“Starter”</w:t>
            </w:r>
            <w:r>
              <w:t xml:space="preserve"> </w:t>
            </w:r>
            <w:r>
              <w:t xml:space="preserve">plan is $0; Pro starts at $1,250/mo per their public pricing page.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Per-client data marts</w:t>
            </w:r>
          </w:p>
        </w:tc>
        <w:tc>
          <w:tcPr/>
          <w:p>
            <w:pPr>
              <w:pStyle w:val="Compact"/>
            </w:pPr>
            <w:r>
              <w:t xml:space="preserve">A dedicated PG instance per client + custom sync pipelines</w:t>
            </w:r>
          </w:p>
        </w:tc>
        <w:tc>
          <w:tcPr/>
          <w:p>
            <w:pPr>
              <w:pStyle w:val="Compact"/>
            </w:pPr>
            <w:r>
              <w:t xml:space="preserve">Engineering build, ongoing maintenance. AWS RDS or Azure DB pricing varies by instance size.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Schema versioning</w:t>
            </w:r>
          </w:p>
        </w:tc>
        <w:tc>
          <w:tcPr/>
          <w:p>
            <w:pPr>
              <w:pStyle w:val="Compact"/>
            </w:pPr>
            <w:r>
              <w:t xml:space="preserve">Liquibase / Flyway / Sqitch</w:t>
            </w:r>
          </w:p>
        </w:tc>
        <w:tc>
          <w:tcPr/>
          <w:p>
            <w:pPr>
              <w:pStyle w:val="Compact"/>
            </w:pPr>
            <w:r>
              <w:t xml:space="preserve">Free tools, but require engineering discipline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</w:t>
            </w:r>
          </w:p>
        </w:tc>
        <w:tc>
          <w:tcPr/>
          <w:p>
            <w:pPr>
              <w:pStyle w:val="Compact"/>
            </w:pPr>
            <w:r>
              <w:t xml:space="preserve">Custom in app layer or PostgreSQL native</w:t>
            </w:r>
          </w:p>
        </w:tc>
        <w:tc>
          <w:tcPr/>
          <w:p>
            <w:pPr>
              <w:pStyle w:val="Compact"/>
            </w:pPr>
            <w:r>
              <w:t xml:space="preserve">PostgreSQL native is what we use; same as Snowflake row access policies</w:t>
            </w:r>
          </w:p>
        </w:tc>
      </w:tr>
    </w:tbl>
    <w:p>
      <w:pPr>
        <w:pStyle w:val="BodyText"/>
      </w:pPr>
      <w:r>
        <w:t xml:space="preserve">The architecture choice (PostgreSQL + sync RPCs) is one of several reasonable choices. What’s portable is the</w:t>
      </w:r>
      <w:r>
        <w:t xml:space="preserve"> </w:t>
      </w:r>
      <w:r>
        <w:rPr>
          <w:i/>
          <w:iCs/>
        </w:rPr>
        <w:t xml:space="preserve">pattern</w:t>
      </w:r>
      <w:r>
        <w:t xml:space="preserve"> </w:t>
      </w:r>
      <w:r>
        <w:t xml:space="preserve">— separation of universe-wide hub from client-owned spoke.</w:t>
      </w:r>
    </w:p>
    <w:p>
      <w:r>
        <w:pict>
          <v:rect style="width:0;height:1.5pt" o:hralign="center" o:hrstd="t" o:hr="t"/>
        </w:pict>
      </w:r>
    </w:p>
    <w:bookmarkEnd w:id="17"/>
    <w:bookmarkStart w:id="18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Architecture overview:</w:t>
      </w:r>
      <w:r>
        <w:t xml:space="preserve"> </w:t>
      </w:r>
      <w:r>
        <w:rPr>
          <w:rStyle w:val="VerbatimChar"/>
        </w:rPr>
        <w:t xml:space="preserve">docs/architecture.md</w:t>
      </w:r>
    </w:p>
    <w:p>
      <w:pPr>
        <w:pStyle w:val="Compact"/>
        <w:numPr>
          <w:ilvl w:val="0"/>
          <w:numId w:val="1003"/>
        </w:numPr>
      </w:pPr>
      <w:r>
        <w:t xml:space="preserve">RLS reference:</w:t>
      </w:r>
      <w:r>
        <w:t xml:space="preserve"> </w:t>
      </w:r>
      <w:r>
        <w:rPr>
          <w:rStyle w:val="VerbatimChar"/>
        </w:rPr>
        <w:t xml:space="preserve">docs/rls.md</w:t>
      </w:r>
    </w:p>
    <w:p>
      <w:pPr>
        <w:pStyle w:val="Compact"/>
        <w:numPr>
          <w:ilvl w:val="0"/>
          <w:numId w:val="1003"/>
        </w:numPr>
      </w:pPr>
      <w:r>
        <w:t xml:space="preserve">Sync log reference:</w:t>
      </w:r>
      <w:r>
        <w:t xml:space="preserve"> </w:t>
      </w:r>
      <w:r>
        <w:rPr>
          <w:rStyle w:val="VerbatimChar"/>
        </w:rPr>
        <w:t xml:space="preserve">context/database/data_flows.md</w:t>
      </w:r>
    </w:p>
    <w:p>
      <w:pPr>
        <w:pStyle w:val="Compact"/>
        <w:numPr>
          <w:ilvl w:val="0"/>
          <w:numId w:val="1003"/>
        </w:numPr>
      </w:pPr>
      <w:r>
        <w:t xml:space="preserve">Hub-to-CARR sync map:</w:t>
      </w:r>
      <w:r>
        <w:t xml:space="preserve"> </w:t>
      </w:r>
      <w:r>
        <w:rPr>
          <w:rStyle w:val="VerbatimChar"/>
        </w:rPr>
        <w:t xml:space="preserve">context/database/hub_to_carr_sync_map.md</w:t>
      </w:r>
    </w:p>
    <w:p>
      <w:pPr>
        <w:pStyle w:val="Compact"/>
        <w:numPr>
          <w:ilvl w:val="0"/>
          <w:numId w:val="1003"/>
        </w:numPr>
      </w:pPr>
      <w:r>
        <w:t xml:space="preserve">Full schema reference:</w:t>
      </w:r>
      <w:r>
        <w:t xml:space="preserve"> </w:t>
      </w:r>
      <w:r>
        <w:rPr>
          <w:rStyle w:val="VerbatimChar"/>
        </w:rPr>
        <w:t xml:space="preserve">context/database/schema_reference.md</w:t>
      </w:r>
    </w:p>
    <w:p>
      <w:pPr>
        <w:pStyle w:val="Compact"/>
        <w:numPr>
          <w:ilvl w:val="0"/>
          <w:numId w:val="1003"/>
        </w:numPr>
      </w:pPr>
      <w:r>
        <w:t xml:space="preserve">Azure migration analysis:</w:t>
      </w:r>
      <w:r>
        <w:t xml:space="preserve"> </w:t>
      </w:r>
      <w:r>
        <w:rPr>
          <w:rStyle w:val="VerbatimChar"/>
        </w:rPr>
        <w:t xml:space="preserve">docs/CARR_MONTH_FOUR_PLUS_ROADMAP.md</w:t>
      </w:r>
      <w:r>
        <w:t xml:space="preserve"> </w:t>
      </w:r>
      <w:r>
        <w:t xml:space="preserve">§4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Architecture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