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GitHub, DevOps &amp; Governance</w:t>
      </w:r>
    </w:p>
    <w:p>
      <w:pPr>
        <w:pStyle w:val="Author"/>
      </w:pPr>
      <w:r>
        <w:t xml:space="preserve">BioCreative Strategies</w:t>
      </w:r>
    </w:p>
    <w:p>
      <w:pPr>
        <w:pStyle w:val="Author"/>
      </w:pPr>
      <w:r>
        <w:t xml:space="preserve">Prepared for CARR Biosystems (Barry-Wehmiller)</w:t>
      </w:r>
    </w:p>
    <w:p>
      <w:pPr>
        <w:pStyle w:val="Date"/>
      </w:pPr>
      <w:r>
        <w:t xml:space="preserve">July 21, 2026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"1-2" \h \z \u</w:instrText>
            <w:fldChar w:fldCharType="separate"/>
            <w:fldChar w:fldCharType="end"/>
          </w:r>
        </w:p>
      </w:sdtContent>
    </w:sdt>
    <w:bookmarkStart w:id="16" w:name="X2fb3b8779a553ceab62f404d0099652c1ecc4a0"/>
    <w:p>
      <w:pPr>
        <w:pStyle w:val="Heading1"/>
      </w:pPr>
      <w:r>
        <w:t xml:space="preserve">04 — GitHub Enterprise, DevOps, Identity &amp; Governance</w:t>
      </w:r>
    </w:p>
    <w:p>
      <w:pPr>
        <w:pStyle w:val="BlockText"/>
      </w:pPr>
      <w:r>
        <w:t xml:space="preserve">Deep-research synthesis on GitHub/DevOps, identity, and governance for CARR’s Azure move. Prices are 2026 list-price projections.</w:t>
      </w:r>
      <w:r>
        <w:t xml:space="preserve"> </w:t>
      </w:r>
      <w:r>
        <w:rPr>
          <w:b/>
          <w:bCs/>
        </w:rPr>
        <w:t xml:space="preserve">Triggers:</w:t>
      </w:r>
      <w:r>
        <w:t xml:space="preserve"> </w:t>
      </w:r>
      <w:r>
        <w:t xml:space="preserve">“github actions azure”</w:t>
      </w:r>
      <w:r>
        <w:t xml:space="preserve">,</w:t>
      </w:r>
      <w:r>
        <w:t xml:space="preserve"> </w:t>
      </w:r>
      <w:r>
        <w:t xml:space="preserve">“oidc federated”</w:t>
      </w:r>
      <w:r>
        <w:t xml:space="preserve">,</w:t>
      </w:r>
      <w:r>
        <w:t xml:space="preserve"> </w:t>
      </w:r>
      <w:r>
        <w:t xml:space="preserve">“entra external id”</w:t>
      </w:r>
      <w:r>
        <w:t xml:space="preserve">,</w:t>
      </w:r>
      <w:r>
        <w:t xml:space="preserve"> </w:t>
      </w:r>
      <w:r>
        <w:t xml:space="preserve">“key vault managed identity”</w:t>
      </w:r>
      <w:r>
        <w:t xml:space="preserve">,</w:t>
      </w:r>
      <w:r>
        <w:t xml:space="preserve"> </w:t>
      </w:r>
      <w:r>
        <w:t xml:space="preserve">“landing zone governance”</w:t>
      </w:r>
      <w:r>
        <w:t xml:space="preserve">,</w:t>
      </w:r>
      <w:r>
        <w:t xml:space="preserve"> </w:t>
      </w:r>
      <w:r>
        <w:t xml:space="preserve">“migration sequencing”</w:t>
      </w:r>
      <w:r>
        <w:t xml:space="preserve">.</w:t>
      </w:r>
    </w:p>
    <w:bookmarkStart w:id="9" w:name="X7504c9ecec5cbacc33989a603234ff719f62d66"/>
    <w:p>
      <w:pPr>
        <w:pStyle w:val="Heading2"/>
      </w:pPr>
      <w:r>
        <w:t xml:space="preserve">CI/CD: GitHub Actions + OIDC (no stored secrets)</w:t>
      </w:r>
    </w:p>
    <w:p>
      <w:pPr>
        <w:pStyle w:val="Compact"/>
        <w:numPr>
          <w:ilvl w:val="0"/>
          <w:numId w:val="1001"/>
        </w:numPr>
      </w:pPr>
      <w:r>
        <w:t xml:space="preserve">Repo is already moving into</w:t>
      </w:r>
      <w:r>
        <w:t xml:space="preserve"> </w:t>
      </w:r>
      <w:r>
        <w:rPr>
          <w:b/>
          <w:bCs/>
        </w:rPr>
        <w:t xml:space="preserve">BW Enterprise GitHub</w:t>
      </w:r>
      <w:r>
        <w:t xml:space="preserve"> </w:t>
      </w:r>
      <w:r>
        <w:t xml:space="preserve">→ use</w:t>
      </w:r>
      <w:r>
        <w:t xml:space="preserve"> </w:t>
      </w:r>
      <w:r>
        <w:rPr>
          <w:b/>
          <w:bCs/>
        </w:rPr>
        <w:t xml:space="preserve">GitHub Actions</w:t>
      </w:r>
      <w:r>
        <w:t xml:space="preserve"> </w:t>
      </w:r>
      <w:r>
        <w:t xml:space="preserve">(over Azure DevOps) to stay in one ecosystem.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OIDC federated credentials</w:t>
      </w:r>
      <w:r>
        <w:t xml:space="preserve"> </w:t>
      </w:r>
      <w:r>
        <w:t xml:space="preserve">are the 2026 standard: Actions requests a short-lived token from Entra ID at runtime via</w:t>
      </w:r>
      <w:r>
        <w:t xml:space="preserve"> </w:t>
      </w:r>
      <w:r>
        <w:rPr>
          <w:rStyle w:val="VerbatimChar"/>
        </w:rPr>
        <w:t xml:space="preserve">azure/login</w:t>
      </w:r>
      <w:r>
        <w:t xml:space="preserve"> </w:t>
      </w:r>
      <w:r>
        <w:t xml:space="preserve">—</w:t>
      </w:r>
      <w:r>
        <w:t xml:space="preserve"> </w:t>
      </w:r>
      <w:r>
        <w:rPr>
          <w:b/>
          <w:bCs/>
        </w:rPr>
        <w:t xml:space="preserve">zero secrets stored in GitHub</w:t>
      </w:r>
      <w:r>
        <w:t xml:space="preserve">. Set up a User-Assigned Managed Identity / App Registration with a federated credential scoped to the BW repo + branch/environment.</w:t>
      </w:r>
    </w:p>
    <w:p>
      <w:pPr>
        <w:pStyle w:val="Compact"/>
        <w:numPr>
          <w:ilvl w:val="0"/>
          <w:numId w:val="1001"/>
        </w:numPr>
      </w:pPr>
      <w:r>
        <w:t xml:space="preserve">Use GitHub</w:t>
      </w:r>
      <w:r>
        <w:t xml:space="preserve"> </w:t>
      </w:r>
      <w:r>
        <w:rPr>
          <w:b/>
          <w:bCs/>
        </w:rPr>
        <w:t xml:space="preserve">Environments</w:t>
      </w:r>
      <w:r>
        <w:t xml:space="preserve"> </w:t>
      </w:r>
      <w:r>
        <w:t xml:space="preserve">(Staging/Production) with manual-approval gates. The ~88 Supabase-CLI migrations move to a standard migration tool (Flyway/Liquibase/db-migrate) run by the pipeline; Docker images → Azure Container Registry → ACA revision update.</w:t>
      </w:r>
    </w:p>
    <w:bookmarkEnd w:id="9"/>
    <w:bookmarkStart w:id="10" w:name="identity-the-single-biggest-risk"/>
    <w:p>
      <w:pPr>
        <w:pStyle w:val="Heading2"/>
      </w:pPr>
      <w:r>
        <w:t xml:space="preserve">Identity — the single biggest risk</w:t>
      </w:r>
    </w:p>
    <w:p>
      <w:pPr>
        <w:pStyle w:val="FirstParagraph"/>
      </w:pPr>
      <w:r>
        <w:t xml:space="preserve">Two user populations:</w:t>
      </w:r>
      <w:r>
        <w:t xml:space="preserve"> </w:t>
      </w:r>
      <w:r>
        <w:rPr>
          <w:b/>
          <w:bCs/>
        </w:rPr>
        <w:t xml:space="preserve">internal BW/CARR staff</w:t>
      </w:r>
      <w:r>
        <w:t xml:space="preserve"> </w:t>
      </w:r>
      <w:r>
        <w:t xml:space="preserve">(already in BW Entra workforce tenant) and</w:t>
      </w:r>
      <w:r>
        <w:t xml:space="preserve"> </w:t>
      </w:r>
      <w:r>
        <w:rPr>
          <w:b/>
          <w:bCs/>
        </w:rPr>
        <w:t xml:space="preserve">external sales reps</w:t>
      </w:r>
      <w:r>
        <w:t xml:space="preserve"> </w:t>
      </w:r>
      <w:r>
        <w:t xml:space="preserve">(no BW credentials). Two candidate models —</w:t>
      </w:r>
      <w:r>
        <w:t xml:space="preserve"> </w:t>
      </w:r>
      <w:r>
        <w:rPr>
          <w:b/>
          <w:bCs/>
        </w:rPr>
        <w:t xml:space="preserve">this is an open decision</w:t>
      </w:r>
      <w:r>
        <w:t xml:space="preserve">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Entra External ID — B2B Collaboration (guest accounts)</w:t>
      </w:r>
      <w:r>
        <w:t xml:space="preserve"> </w:t>
      </w:r>
      <w:r>
        <w:rPr>
          <w:i/>
          <w:iCs/>
        </w:rPr>
        <w:t xml:space="preserve">(report 04 lean)</w:t>
      </w:r>
      <w:r>
        <w:t xml:space="preserve">: reps become</w:t>
      </w:r>
      <w:r>
        <w:t xml:space="preserve"> </w:t>
      </w:r>
      <w:r>
        <w:rPr>
          <w:rStyle w:val="VerbatimChar"/>
        </w:rPr>
        <w:t xml:space="preserve">#EXT#</w:t>
      </w:r>
      <w:r>
        <w:t xml:space="preserve"> </w:t>
      </w:r>
      <w:r>
        <w:t xml:space="preserve">guests in BW’s directory; one unified directory; BW applies Conditional Access/MFA uniformly; MAU billing with</w:t>
      </w:r>
      <w:r>
        <w:t xml:space="preserve"> </w:t>
      </w:r>
      <w:r>
        <w:rPr>
          <w:b/>
          <w:bCs/>
        </w:rPr>
        <w:t xml:space="preserve">50,000 free MAU/mo</w:t>
      </w:r>
      <w:r>
        <w:t xml:space="preserve"> </w:t>
      </w:r>
      <w:r>
        <w:t xml:space="preserve">(CARR almost certainly $0).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Entra External ID — CIAM / B2C</w:t>
      </w:r>
      <w:r>
        <w:t xml:space="preserve"> </w:t>
      </w:r>
      <w:r>
        <w:rPr>
          <w:i/>
          <w:iCs/>
        </w:rPr>
        <w:t xml:space="preserve">(report 01 lean)</w:t>
      </w:r>
      <w:r>
        <w:t xml:space="preserve">: separate consumer-facing directory; better if the external population is large/consumer-like.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RLS impact (either way):</w:t>
      </w:r>
      <w:r>
        <w:t xml:space="preserve"> </w:t>
      </w:r>
      <w:r>
        <w:t xml:space="preserve">replace</w:t>
      </w:r>
      <w:r>
        <w:t xml:space="preserve"> </w:t>
      </w:r>
      <w:r>
        <w:rPr>
          <w:rStyle w:val="VerbatimChar"/>
        </w:rPr>
        <w:t xml:space="preserve">auth.uid()</w:t>
      </w:r>
      <w:r>
        <w:t xml:space="preserve"> </w:t>
      </w:r>
      <w:r>
        <w:t xml:space="preserve">with middleware that decodes the Entra JWT and runs</w:t>
      </w:r>
      <w:r>
        <w:t xml:space="preserve"> </w:t>
      </w:r>
      <w:r>
        <w:rPr>
          <w:rStyle w:val="VerbatimChar"/>
        </w:rPr>
        <w:t xml:space="preserve">SET LOCAL app.user_id = '&lt;oid&gt;'</w:t>
      </w:r>
      <w:r>
        <w:t xml:space="preserve">; rewrite policies to</w:t>
      </w:r>
      <w:r>
        <w:t xml:space="preserve"> </w:t>
      </w:r>
      <w:r>
        <w:rPr>
          <w:rStyle w:val="VerbatimChar"/>
        </w:rPr>
        <w:t xml:space="preserve">current_setting('app.user_id', true)</w:t>
      </w:r>
      <w:r>
        <w:t xml:space="preserve"> </w:t>
      </w:r>
      <w:r>
        <w:t xml:space="preserve">(see</w:t>
      </w:r>
      <w:r>
        <w:t xml:space="preserve"> </w:t>
      </w:r>
      <w:r>
        <w:rPr>
          <w:rStyle w:val="VerbatimChar"/>
        </w:rPr>
        <w:t xml:space="preserve">01</w:t>
      </w:r>
      <w:r>
        <w:t xml:space="preserve">). Frontend swaps</w:t>
      </w:r>
      <w:r>
        <w:t xml:space="preserve"> </w:t>
      </w:r>
      <w:r>
        <w:rPr>
          <w:rStyle w:val="VerbatimChar"/>
        </w:rPr>
        <w:t xml:space="preserve">supabase-js</w:t>
      </w:r>
      <w:r>
        <w:t xml:space="preserve"> </w:t>
      </w:r>
      <w:r>
        <w:t xml:space="preserve">auth for</w:t>
      </w:r>
      <w:r>
        <w:t xml:space="preserve"> </w:t>
      </w:r>
      <w:r>
        <w:rPr>
          <w:b/>
          <w:bCs/>
        </w:rPr>
        <w:t xml:space="preserve">MSAL</w:t>
      </w:r>
      <w:r>
        <w:t xml:space="preserve">.</w:t>
      </w:r>
    </w:p>
    <w:p>
      <w:pPr>
        <w:pStyle w:val="BlockText"/>
      </w:pPr>
      <w:r>
        <w:t xml:space="preserve">Resolve B2B-vs-CIAM with BW IT early — it gates the RLS rewrite and the frontend auth swap.</w:t>
      </w:r>
    </w:p>
    <w:bookmarkEnd w:id="10"/>
    <w:bookmarkStart w:id="11" w:name="Xa3419c6871aea163dc70a7a579a860ff4929717"/>
    <w:p>
      <w:pPr>
        <w:pStyle w:val="Heading2"/>
      </w:pPr>
      <w:r>
        <w:t xml:space="preserve">Secrets: Key Vault + Managed Identity (zero-secret)</w:t>
      </w:r>
    </w:p>
    <w:p>
      <w:pPr>
        <w:pStyle w:val="FirstParagraph"/>
      </w:pPr>
      <w:r>
        <w:t xml:space="preserve">Replaces</w:t>
      </w:r>
      <w:r>
        <w:t xml:space="preserve"> </w:t>
      </w:r>
      <w:r>
        <w:rPr>
          <w:rStyle w:val="VerbatimChar"/>
        </w:rPr>
        <w:t xml:space="preserve">get_vault_secret</w:t>
      </w:r>
      <w:r>
        <w:t xml:space="preserve">. ACA/Functions get a system-assigned Managed Identity granted the</w:t>
      </w:r>
      <w:r>
        <w:t xml:space="preserve"> </w:t>
      </w:r>
      <w:r>
        <w:t xml:space="preserve">“Key Vault Secrets User”</w:t>
      </w:r>
      <w:r>
        <w:t xml:space="preserve"> </w:t>
      </w:r>
      <w:r>
        <w:t xml:space="preserve">role; code uses</w:t>
      </w:r>
      <w:r>
        <w:t xml:space="preserve"> </w:t>
      </w:r>
      <w:r>
        <w:rPr>
          <w:rStyle w:val="VerbatimChar"/>
        </w:rPr>
        <w:t xml:space="preserve">DefaultAzureCredential</w:t>
      </w:r>
      <w:r>
        <w:t xml:space="preserve"> </w:t>
      </w:r>
      <w:r>
        <w:t xml:space="preserve">(or</w:t>
      </w:r>
      <w:r>
        <w:t xml:space="preserve"> </w:t>
      </w:r>
      <w:r>
        <w:rPr>
          <w:rStyle w:val="VerbatimChar"/>
        </w:rPr>
        <w:t xml:space="preserve">@Microsoft.KeyVault(SecretUri=...)</w:t>
      </w:r>
      <w:r>
        <w:t xml:space="preserve"> </w:t>
      </w:r>
      <w:r>
        <w:t xml:space="preserve">env binding). Central rotation — update once in Key Vault, no redeploy.</w:t>
      </w:r>
    </w:p>
    <w:bookmarkEnd w:id="11"/>
    <w:bookmarkStart w:id="12" w:name="Xcad323c68fe2b3ba240d76673f4865d9ad65637"/>
    <w:p>
      <w:pPr>
        <w:pStyle w:val="Heading2"/>
      </w:pPr>
      <w:r>
        <w:t xml:space="preserve">Enterprise governance (new mental model for the team)</w:t>
      </w:r>
    </w:p>
    <w:p>
      <w:pPr>
        <w:pStyle w:val="FirstParagraph"/>
      </w:pPr>
      <w:r>
        <w:t xml:space="preserve">Coming from one Supabase project, the team meets:</w:t>
      </w:r>
      <w:r>
        <w:t xml:space="preserve"> </w:t>
      </w:r>
      <w:r>
        <w:rPr>
          <w:b/>
          <w:bCs/>
        </w:rPr>
        <w:t xml:space="preserve">Management Groups → Subscriptions → Resource Groups</w:t>
      </w:r>
      <w:r>
        <w:t xml:space="preserve">,</w:t>
      </w:r>
      <w:r>
        <w:t xml:space="preserve"> </w:t>
      </w:r>
      <w:r>
        <w:rPr>
          <w:b/>
          <w:bCs/>
        </w:rPr>
        <w:t xml:space="preserve">Azure Policy</w:t>
      </w:r>
      <w:r>
        <w:t xml:space="preserve"> </w:t>
      </w:r>
      <w:r>
        <w:t xml:space="preserve">(e.g. </w:t>
      </w:r>
      <w:r>
        <w:t xml:space="preserve">“no public network access”</w:t>
      </w:r>
      <w:r>
        <w:t xml:space="preserve"> </w:t>
      </w:r>
      <w:r>
        <w:t xml:space="preserve">— non-compliant deploys fail),</w:t>
      </w:r>
      <w:r>
        <w:t xml:space="preserve"> </w:t>
      </w:r>
      <w:r>
        <w:rPr>
          <w:b/>
          <w:bCs/>
        </w:rPr>
        <w:t xml:space="preserve">RBAC least-privilege</w:t>
      </w:r>
      <w:r>
        <w:t xml:space="preserve"> </w:t>
      </w:r>
      <w:r>
        <w:t xml:space="preserve">(devs get</w:t>
      </w:r>
      <w:r>
        <w:t xml:space="preserve"> </w:t>
      </w:r>
      <w:r>
        <w:rPr>
          <w:rStyle w:val="VerbatimChar"/>
        </w:rPr>
        <w:t xml:space="preserve">Contributor</w:t>
      </w:r>
      <w:r>
        <w:t xml:space="preserve"> </w:t>
      </w:r>
      <w:r>
        <w:t xml:space="preserve">on specific RGs; BW IT keeps</w:t>
      </w:r>
      <w:r>
        <w:t xml:space="preserve"> </w:t>
      </w:r>
      <w:r>
        <w:rPr>
          <w:rStyle w:val="VerbatimChar"/>
        </w:rPr>
        <w:t xml:space="preserve">Owner</w:t>
      </w:r>
      <w:r>
        <w:t xml:space="preserve">), and</w:t>
      </w:r>
      <w:r>
        <w:t xml:space="preserve"> </w:t>
      </w:r>
      <w:r>
        <w:rPr>
          <w:b/>
          <w:bCs/>
        </w:rPr>
        <w:t xml:space="preserve">mandatory tagging</w:t>
      </w:r>
      <w:r>
        <w:t xml:space="preserve"> </w:t>
      </w:r>
      <w:r>
        <w:t xml:space="preserve">(</w:t>
      </w:r>
      <w:r>
        <w:rPr>
          <w:rStyle w:val="VerbatimChar"/>
        </w:rPr>
        <w:t xml:space="preserve">CostCenter</w:t>
      </w:r>
      <w:r>
        <w:t xml:space="preserve">,</w:t>
      </w:r>
      <w:r>
        <w:t xml:space="preserve"> </w:t>
      </w:r>
      <w:r>
        <w:rPr>
          <w:rStyle w:val="VerbatimChar"/>
        </w:rPr>
        <w:t xml:space="preserve">Environment</w:t>
      </w:r>
      <w:r>
        <w:t xml:space="preserve">,</w:t>
      </w:r>
      <w:r>
        <w:t xml:space="preserve"> </w:t>
      </w:r>
      <w:r>
        <w:rPr>
          <w:rStyle w:val="VerbatimChar"/>
        </w:rPr>
        <w:t xml:space="preserve">Application</w:t>
      </w:r>
      <w:r>
        <w:t xml:space="preserve">) for chargeback via Azure Cost Management.</w:t>
      </w:r>
    </w:p>
    <w:bookmarkEnd w:id="12"/>
    <w:bookmarkStart w:id="13" w:name="X54ba8030f0dd91ca7b23d5877075d42885ca414"/>
    <w:p>
      <w:pPr>
        <w:pStyle w:val="Heading2"/>
      </w:pPr>
      <w:r>
        <w:t xml:space="preserve">Cost / licensing (2026, list prices — projections)</w:t>
      </w:r>
    </w:p>
    <w:p>
      <w:pPr>
        <w:pStyle w:val="Compact"/>
        <w:numPr>
          <w:ilvl w:val="0"/>
          <w:numId w:val="1002"/>
        </w:numPr>
      </w:pPr>
      <w:r>
        <w:t xml:space="preserve">GitHub Enterprise Cloud</w:t>
      </w:r>
      <w:r>
        <w:t xml:space="preserve"> </w:t>
      </w:r>
      <w:r>
        <w:rPr>
          <w:b/>
          <w:bCs/>
        </w:rPr>
        <w:t xml:space="preserve">$21/user/mo</w:t>
      </w:r>
      <w:r>
        <w:t xml:space="preserve">; Advanced Security</w:t>
      </w:r>
      <w:r>
        <w:t xml:space="preserve"> </w:t>
      </w:r>
      <w:r>
        <w:rPr>
          <w:b/>
          <w:bCs/>
        </w:rPr>
        <w:t xml:space="preserve">$49/committer/mo</w:t>
      </w:r>
      <w:r>
        <w:t xml:space="preserve">; Copilot Business</w:t>
      </w:r>
      <w:r>
        <w:t xml:space="preserve"> </w:t>
      </w:r>
      <w:r>
        <w:rPr>
          <w:b/>
          <w:bCs/>
        </w:rPr>
        <w:t xml:space="preserve">$19</w:t>
      </w:r>
      <w:r>
        <w:t xml:space="preserve"> </w:t>
      </w:r>
      <w:r>
        <w:t xml:space="preserve">/ Enterprise</w:t>
      </w:r>
      <w:r>
        <w:t xml:space="preserve"> </w:t>
      </w:r>
      <w:r>
        <w:rPr>
          <w:b/>
          <w:bCs/>
        </w:rPr>
        <w:t xml:space="preserve">$39</w:t>
      </w:r>
      <w:r>
        <w:t xml:space="preserve">/user/mo. ~10 devs full stack ≈</w:t>
      </w:r>
      <w:r>
        <w:t xml:space="preserve"> </w:t>
      </w:r>
      <w:r>
        <w:rPr>
          <w:b/>
          <w:bCs/>
        </w:rPr>
        <w:t xml:space="preserve">$1,090/mo</w:t>
      </w:r>
      <w:r>
        <w:t xml:space="preserve"> </w:t>
      </w:r>
      <w:r>
        <w:t xml:space="preserve">tooling.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Entra External ID: first 50,000 MAU free</w:t>
      </w:r>
      <w:r>
        <w:t xml:space="preserve"> </w:t>
      </w:r>
      <w:r>
        <w:t xml:space="preserve">→ external-rep auth likely</w:t>
      </w:r>
      <w:r>
        <w:t xml:space="preserve"> </w:t>
      </w:r>
      <w:r>
        <w:rPr>
          <w:b/>
          <w:bCs/>
        </w:rPr>
        <w:t xml:space="preserve">$0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Azure infra consumption ≈</w:t>
      </w:r>
      <w:r>
        <w:t xml:space="preserve"> </w:t>
      </w:r>
      <w:r>
        <w:rPr>
          <w:b/>
          <w:bCs/>
        </w:rPr>
        <w:t xml:space="preserve">$300–800/mo</w:t>
      </w:r>
      <w:r>
        <w:t xml:space="preserve"> </w:t>
      </w:r>
      <w:r>
        <w:t xml:space="preserve">depending on DB tier/load (see</w:t>
      </w:r>
      <w:r>
        <w:t xml:space="preserve"> </w:t>
      </w:r>
      <w:r>
        <w:rPr>
          <w:rStyle w:val="VerbatimChar"/>
        </w:rPr>
        <w:t xml:space="preserve">03</w:t>
      </w:r>
      <w:r>
        <w:t xml:space="preserve"> </w:t>
      </w:r>
      <w:r>
        <w:t xml:space="preserve">for the ~$230–350 lean estimate).</w:t>
      </w:r>
    </w:p>
    <w:bookmarkEnd w:id="13"/>
    <w:bookmarkStart w:id="14" w:name="securitycompliance-boundary"/>
    <w:p>
      <w:pPr>
        <w:pStyle w:val="Heading2"/>
      </w:pPr>
      <w:r>
        <w:t xml:space="preserve">Security/compliance boundary</w:t>
      </w:r>
    </w:p>
    <w:p>
      <w:pPr>
        <w:pStyle w:val="FirstParagraph"/>
      </w:pPr>
      <w:r>
        <w:t xml:space="preserve">DB gets</w:t>
      </w:r>
      <w:r>
        <w:t xml:space="preserve"> </w:t>
      </w:r>
      <w:r>
        <w:rPr>
          <w:b/>
          <w:bCs/>
        </w:rPr>
        <w:t xml:space="preserve">no public IP</w:t>
      </w:r>
      <w:r>
        <w:t xml:space="preserve"> </w:t>
      </w:r>
      <w:r>
        <w:t xml:space="preserve">— VNet + Private Endpoints; devs reach it via VPN/Bastion. Logs (Postgres, ACA, Key Vault) → Log Analytics;</w:t>
      </w:r>
      <w:r>
        <w:t xml:space="preserve"> </w:t>
      </w:r>
      <w:r>
        <w:rPr>
          <w:b/>
          <w:bCs/>
        </w:rPr>
        <w:t xml:space="preserve">Defender for Cloud</w:t>
      </w:r>
      <w:r>
        <w:t xml:space="preserve"> </w:t>
      </w:r>
      <w:r>
        <w:t xml:space="preserve">scans posture. Expect a pre-go-live enterprise security review.</w:t>
      </w:r>
    </w:p>
    <w:bookmarkEnd w:id="14"/>
    <w:bookmarkStart w:id="15" w:name="recommended-migration-sequence-8-weeks"/>
    <w:p>
      <w:pPr>
        <w:pStyle w:val="Heading2"/>
      </w:pPr>
      <w:r>
        <w:t xml:space="preserve">Recommended migration sequence (~8 weeks)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Wks 1–2 — Foundation/Identity:</w:t>
      </w:r>
      <w:r>
        <w:t xml:space="preserve"> </w:t>
      </w:r>
      <w:r>
        <w:t xml:space="preserve">Landing Zone + subscriptions/RGs; Entra External ID; repo → BW Enterprise GitHub; Actions + OIDC.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Wks 3–4 — Data/Secrets:</w:t>
      </w:r>
      <w:r>
        <w:t xml:space="preserve"> </w:t>
      </w:r>
      <w:r>
        <w:t xml:space="preserve">Key Vault (migrate secrets); Azure DB for PG in VNet; schema+data migrate; RLS refactor to session vars;</w:t>
      </w:r>
      <w:r>
        <w:t xml:space="preserve"> </w:t>
      </w:r>
      <w:r>
        <w:rPr>
          <w:rStyle w:val="VerbatimChar"/>
        </w:rPr>
        <w:t xml:space="preserve">pg_cron</w:t>
      </w:r>
      <w:r>
        <w:t xml:space="preserve"> </w:t>
      </w:r>
      <w:r>
        <w:t xml:space="preserve">jobs.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Wks 5–6 — Compute/API:</w:t>
      </w:r>
      <w:r>
        <w:t xml:space="preserve"> </w:t>
      </w:r>
      <w:r>
        <w:t xml:space="preserve">containerize EFs → ACA; deploy JWT-validating API middleware; webhooks.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Wks 7–8 — Frontend/Go-live:</w:t>
      </w:r>
      <w:r>
        <w:t xml:space="preserve"> </w:t>
      </w:r>
      <w:r>
        <w:t xml:space="preserve">frontend → MSAL auth; deploy to SWA via Actions; pen-test + cutover.</w:t>
      </w:r>
    </w:p>
    <w:p>
      <w:pPr>
        <w:pStyle w:val="FirstParagraph"/>
      </w:pPr>
      <w:r>
        <w:t xml:space="preserve">This keeps the three BW workstreams (Claude Enterprise, GitHub migration, Azure DB/hosting) from blocking each other.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GitHub, DevOps &amp; Governance</dc:title>
  <dc:creator>BioCreative Strategies; Prepared for CARR Biosystems (Barry-Wehmiller)</dc:creator>
  <cp:keywords/>
  <dcterms:created xsi:type="dcterms:W3CDTF">2026-07-22T01:52:22Z</dcterms:created>
  <dcterms:modified xsi:type="dcterms:W3CDTF">2026-07-22T01:52:22Z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July 21, 2026</vt:lpwstr>
  </property>
</Properties>
</file>