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 Enrichment Pipeline</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7" w:name="account-enrichment-pipeline"/>
    <w:p>
      <w:pPr>
        <w:pStyle w:val="Heading1"/>
      </w:pPr>
      <w:r>
        <w:t xml:space="preserve">05 — Account Enrichment Pipeline</w:t>
      </w:r>
    </w:p>
    <w:p>
      <w:pPr>
        <w:pStyle w:val="BlockText"/>
      </w:pPr>
      <w:r>
        <w:rPr>
          <w:b/>
          <w:bCs/>
        </w:rPr>
        <w:t xml:space="preserve">Parent:</w:t>
      </w:r>
      <w:r>
        <w:t xml:space="preserve"> </w:t>
      </w:r>
      <w:r>
        <w:rPr>
          <w:rStyle w:val="VerbatimChar"/>
        </w:rPr>
        <w:t xml:space="preserve">00_INDEX.md</w:t>
      </w:r>
      <w:r>
        <w:t xml:space="preserve"> </w:t>
      </w:r>
      <w:r>
        <w:t xml:space="preserve">·</w:t>
      </w:r>
      <w:r>
        <w:t xml:space="preserve"> </w:t>
      </w:r>
      <w:r>
        <w:rPr>
          <w:b/>
          <w:bCs/>
        </w:rPr>
        <w:t xml:space="preserve">Reading time:</w:t>
      </w:r>
      <w:r>
        <w:t xml:space="preserve"> </w:t>
      </w:r>
      <w:r>
        <w:t xml:space="preserve">6 min</w:t>
      </w:r>
    </w:p>
    <w:p>
      <w:pPr>
        <w:pStyle w:val="FirstParagraph"/>
      </w:pPr>
      <w:r>
        <w:t xml:space="preserve">A name and a domain isn’t a target. To message someone usefully you need to know: what modality is the company actually working in, what clinical stage they’re at, what manufacturing scale they’re operating at, who their competitors are, what equipment they currently use, and whether anything in their recent history opens a buying window. This layer answers all of that,</w:t>
      </w:r>
      <w:r>
        <w:t xml:space="preserve"> </w:t>
      </w:r>
      <w:r>
        <w:rPr>
          <w:i/>
          <w:iCs/>
        </w:rPr>
        <w:t xml:space="preserve">automatically</w:t>
      </w:r>
      <w:r>
        <w:t xml:space="preserve">, for thousands of accounts.</w:t>
      </w:r>
    </w:p>
    <w:p>
      <w:r>
        <w:pict>
          <v:rect style="width:0;height:1.5pt" o:hralign="center" o:hrstd="t" o:hr="t"/>
        </w:pict>
      </w:r>
    </w:p>
    <w:bookmarkStart w:id="9" w:name="the-two-stage-enrichment-model"/>
    <w:p>
      <w:pPr>
        <w:pStyle w:val="Heading2"/>
      </w:pPr>
      <w:r>
        <w:t xml:space="preserve">The two-stage enrichment model</w:t>
      </w:r>
    </w:p>
    <w:p>
      <w:pPr>
        <w:pStyle w:val="FirstParagraph"/>
      </w:pPr>
      <w:r>
        <w:t xml:space="preserve">CARR uses a</w:t>
      </w:r>
      <w:r>
        <w:t xml:space="preserve"> </w:t>
      </w:r>
      <w:r>
        <w:rPr>
          <w:b/>
          <w:bCs/>
        </w:rPr>
        <w:t xml:space="preserve">layered</w:t>
      </w:r>
      <w:r>
        <w:t xml:space="preserve"> </w:t>
      </w:r>
      <w:r>
        <w:t xml:space="preserve">enrichment pattern. Hub-side enrichment is universe-wide (every CGT company gets the same baseline treatment). CARR-side enrichment is on top of that and is CARR-specific (centrifuge fit, separation tech, manufacturing scale — only relevant to CARR’s product).</w:t>
      </w:r>
    </w:p>
    <w:p>
      <w:pPr>
        <w:pStyle w:val="SourceCode"/>
      </w:pPr>
      <w:r>
        <w:rPr>
          <w:rStyle w:val="VerbatimChar"/>
        </w:rPr>
        <w:t xml:space="preserve">┌─────────────────────────────────────────────────────────────┐</w:t>
      </w:r>
      <w:r>
        <w:br/>
      </w:r>
      <w:r>
        <w:rPr>
          <w:rStyle w:val="VerbatimChar"/>
        </w:rPr>
        <w:t xml:space="preserve">│ HUB-SIDE (universe-wide, shared across all BC clients)      │</w:t>
      </w:r>
      <w:r>
        <w:br/>
      </w:r>
      <w:r>
        <w:rPr>
          <w:rStyle w:val="VerbatimChar"/>
        </w:rPr>
        <w:t xml:space="preserve">│                                                             │</w:t>
      </w:r>
      <w:r>
        <w:br/>
      </w:r>
      <w:r>
        <w:rPr>
          <w:rStyle w:val="VerbatimChar"/>
        </w:rPr>
        <w:t xml:space="preserve">│  L1 — Rule-based                                            │</w:t>
      </w:r>
      <w:r>
        <w:br/>
      </w:r>
      <w:r>
        <w:rPr>
          <w:rStyle w:val="VerbatimChar"/>
        </w:rPr>
        <w:t xml:space="preserve">│    └─ ai_subcategory, primary_category, is_life_sciences    │</w:t>
      </w:r>
      <w:r>
        <w:br/>
      </w:r>
      <w:r>
        <w:rPr>
          <w:rStyle w:val="VerbatimChar"/>
        </w:rPr>
        <w:t xml:space="preserve">│                                                             │</w:t>
      </w:r>
      <w:r>
        <w:br/>
      </w:r>
      <w:r>
        <w:rPr>
          <w:rStyle w:val="VerbatimChar"/>
        </w:rPr>
        <w:t xml:space="preserve">│  L2 — AI deep research (Claude Sonnet + web scraping)       │</w:t>
      </w:r>
      <w:r>
        <w:br/>
      </w:r>
      <w:r>
        <w:rPr>
          <w:rStyle w:val="VerbatimChar"/>
        </w:rPr>
        <w:t xml:space="preserve">│    └─ enrichment_data (22-key JSONB):                       │</w:t>
      </w:r>
      <w:r>
        <w:br/>
      </w:r>
      <w:r>
        <w:rPr>
          <w:rStyle w:val="VerbatimChar"/>
        </w:rPr>
        <w:t xml:space="preserve">│         modality, clinical_phase, funding_stage,            │</w:t>
      </w:r>
      <w:r>
        <w:br/>
      </w:r>
      <w:r>
        <w:rPr>
          <w:rStyle w:val="VerbatimChar"/>
        </w:rPr>
        <w:t xml:space="preserve">│         technology_platform, pipeline_products,             │</w:t>
      </w:r>
      <w:r>
        <w:br/>
      </w:r>
      <w:r>
        <w:rPr>
          <w:rStyle w:val="VerbatimChar"/>
        </w:rPr>
        <w:t xml:space="preserve">│         total_funding, key_investors, competitors,          │</w:t>
      </w:r>
      <w:r>
        <w:br/>
      </w:r>
      <w:r>
        <w:rPr>
          <w:rStyle w:val="VerbatimChar"/>
        </w:rPr>
        <w:t xml:space="preserve">│         ai_summary, human_summary, etc.                     │</w:t>
      </w:r>
      <w:r>
        <w:br/>
      </w:r>
      <w:r>
        <w:rPr>
          <w:rStyle w:val="VerbatimChar"/>
        </w:rPr>
        <w:t xml:space="preserve">└─────────────┬───────────────────────────────────────────────┘</w:t>
      </w:r>
      <w:r>
        <w:br/>
      </w:r>
      <w:r>
        <w:rPr>
          <w:rStyle w:val="VerbatimChar"/>
        </w:rPr>
        <w:t xml:space="preserve">              │ synced to CARR (preserved as-is, never overwritten)</w:t>
      </w:r>
      <w:r>
        <w:br/>
      </w:r>
      <w:r>
        <w:rPr>
          <w:rStyle w:val="VerbatimChar"/>
        </w:rPr>
        <w:t xml:space="preserve">              ▼</w:t>
      </w:r>
      <w:r>
        <w:br/>
      </w:r>
      <w:r>
        <w:rPr>
          <w:rStyle w:val="VerbatimChar"/>
        </w:rPr>
        <w:t xml:space="preserve">┌─────────────────────────────────────────────────────────────┐</w:t>
      </w:r>
      <w:r>
        <w:br/>
      </w:r>
      <w:r>
        <w:rPr>
          <w:rStyle w:val="VerbatimChar"/>
        </w:rPr>
        <w:t xml:space="preserve">│ CARR-SIDE (CARR-specific, runs only on CGT-relevant accts)  │</w:t>
      </w:r>
      <w:r>
        <w:br/>
      </w:r>
      <w:r>
        <w:rPr>
          <w:rStyle w:val="VerbatimChar"/>
        </w:rPr>
        <w:t xml:space="preserve">│                                                             │</w:t>
      </w:r>
      <w:r>
        <w:br/>
      </w:r>
      <w:r>
        <w:rPr>
          <w:rStyle w:val="VerbatimChar"/>
        </w:rPr>
        <w:t xml:space="preserve">│  Light enrichment — web search (Brave) + basic facts        │</w:t>
      </w:r>
      <w:r>
        <w:br/>
      </w:r>
      <w:r>
        <w:rPr>
          <w:rStyle w:val="VerbatimChar"/>
        </w:rPr>
        <w:t xml:space="preserve">│    └─ skips if Hub L2 data exists                           │</w:t>
      </w:r>
      <w:r>
        <w:br/>
      </w:r>
      <w:r>
        <w:rPr>
          <w:rStyle w:val="VerbatimChar"/>
        </w:rPr>
        <w:t xml:space="preserve">│                                                             │</w:t>
      </w:r>
      <w:r>
        <w:br/>
      </w:r>
      <w:r>
        <w:rPr>
          <w:rStyle w:val="VerbatimChar"/>
        </w:rPr>
        <w:t xml:space="preserve">│  Classification — Claude AI                                 │</w:t>
      </w:r>
      <w:r>
        <w:br/>
      </w:r>
      <w:r>
        <w:rPr>
          <w:rStyle w:val="VerbatimChar"/>
        </w:rPr>
        <w:t xml:space="preserve">│    └─ icp_segment (TD/CDMO/academic/SP/financial/default)   │</w:t>
      </w:r>
      <w:r>
        <w:br/>
      </w:r>
      <w:r>
        <w:rPr>
          <w:rStyle w:val="VerbatimChar"/>
        </w:rPr>
        <w:t xml:space="preserve">│    └─ ai_subcategory (td_clinical, service_cdmo, etc.)      │</w:t>
      </w:r>
      <w:r>
        <w:br/>
      </w:r>
      <w:r>
        <w:rPr>
          <w:rStyle w:val="VerbatimChar"/>
        </w:rPr>
        <w:t xml:space="preserve">│                                                             │</w:t>
      </w:r>
      <w:r>
        <w:br/>
      </w:r>
      <w:r>
        <w:rPr>
          <w:rStyle w:val="VerbatimChar"/>
        </w:rPr>
        <w:t xml:space="preserve">│  Deep enrichment — Firecrawl + Brave + Claude               │</w:t>
      </w:r>
      <w:r>
        <w:br/>
      </w:r>
      <w:r>
        <w:rPr>
          <w:rStyle w:val="VerbatimChar"/>
        </w:rPr>
        <w:t xml:space="preserve">│    └─ carr_enrichment_data JSONB:                           │</w:t>
      </w:r>
      <w:r>
        <w:br/>
      </w:r>
      <w:r>
        <w:rPr>
          <w:rStyle w:val="VerbatimChar"/>
        </w:rPr>
        <w:t xml:space="preserve">│         centrifugation_relevance, manufacturing_scale,      │</w:t>
      </w:r>
      <w:r>
        <w:br/>
      </w:r>
      <w:r>
        <w:rPr>
          <w:rStyle w:val="VerbatimChar"/>
        </w:rPr>
        <w:t xml:space="preserve">│         bioreactor_type, separation_technology,             │</w:t>
      </w:r>
      <w:r>
        <w:br/>
      </w:r>
      <w:r>
        <w:rPr>
          <w:rStyle w:val="VerbatimChar"/>
        </w:rPr>
        <w:t xml:space="preserve">│         key_partnerships, equipment_signals                 │</w:t>
      </w:r>
      <w:r>
        <w:br/>
      </w:r>
      <w:r>
        <w:rPr>
          <w:rStyle w:val="VerbatimChar"/>
        </w:rPr>
        <w:t xml:space="preserve">│                                                             │</w:t>
      </w:r>
      <w:r>
        <w:br/>
      </w:r>
      <w:r>
        <w:rPr>
          <w:rStyle w:val="VerbatimChar"/>
        </w:rPr>
        <w:t xml:space="preserve">│  ICP v2 scoring — deterministic, uses both layers           │</w:t>
      </w:r>
      <w:r>
        <w:br/>
      </w:r>
      <w:r>
        <w:rPr>
          <w:rStyle w:val="VerbatimChar"/>
        </w:rPr>
        <w:t xml:space="preserve">│    └─ icp_tier (Tier 1 / 2 / 3 / 4 / 5)                     │</w:t>
      </w:r>
      <w:r>
        <w:br/>
      </w:r>
      <w:r>
        <w:rPr>
          <w:rStyle w:val="VerbatimChar"/>
        </w:rPr>
        <w:t xml:space="preserve">└─────────────────────────────────────────────────────────────┘</w:t>
      </w:r>
    </w:p>
    <w:p>
      <w:pPr>
        <w:pStyle w:val="FirstParagraph"/>
      </w:pPr>
      <w:r>
        <w:t xml:space="preserve">Critical rule (codified in</w:t>
      </w:r>
      <w:r>
        <w:t xml:space="preserve"> </w:t>
      </w:r>
      <w:r>
        <w:rPr>
          <w:rStyle w:val="VerbatimChar"/>
        </w:rPr>
        <w:t xml:space="preserve">SPOKE_ENRICHMENT_PATTERN.md</w:t>
      </w:r>
      <w:r>
        <w:t xml:space="preserve">):</w:t>
      </w:r>
      <w:r>
        <w:t xml:space="preserve"> </w:t>
      </w:r>
      <w:r>
        <w:rPr>
          <w:b/>
          <w:bCs/>
        </w:rPr>
        <w:t xml:space="preserve">Hub</w:t>
      </w:r>
      <w:r>
        <w:rPr>
          <w:b/>
          <w:bCs/>
        </w:rPr>
        <w:t xml:space="preserve"> </w:t>
      </w:r>
      <w:r>
        <w:rPr>
          <w:rStyle w:val="VerbatimChar"/>
          <w:b/>
          <w:bCs/>
        </w:rPr>
        <w:t xml:space="preserve">enrichment_data</w:t>
      </w:r>
      <w:r>
        <w:rPr>
          <w:b/>
          <w:bCs/>
        </w:rPr>
        <w:t xml:space="preserve"> </w:t>
      </w:r>
      <w:r>
        <w:rPr>
          <w:b/>
          <w:bCs/>
        </w:rPr>
        <w:t xml:space="preserve">is never overwritten by spoke code.</w:t>
      </w:r>
      <w:r>
        <w:t xml:space="preserve"> </w:t>
      </w:r>
      <w:r>
        <w:t xml:space="preserve">Spokes use a</w:t>
      </w:r>
      <w:r>
        <w:t xml:space="preserve"> </w:t>
      </w:r>
      <w:r>
        <w:rPr>
          <w:rStyle w:val="VerbatimChar"/>
        </w:rPr>
        <w:t xml:space="preserve">[client]_enrichment_data</w:t>
      </w:r>
      <w:r>
        <w:t xml:space="preserve"> </w:t>
      </w:r>
      <w:r>
        <w:t xml:space="preserve">column so universe-wide intelligence and client-specific deep dives coexist.</w:t>
      </w:r>
    </w:p>
    <w:p>
      <w:r>
        <w:pict>
          <v:rect style="width:0;height:1.5pt" o:hralign="center" o:hrstd="t" o:hr="t"/>
        </w:pict>
      </w:r>
    </w:p>
    <w:bookmarkEnd w:id="9"/>
    <w:bookmarkStart w:id="10" w:name="the-tools-used-at-each-stage"/>
    <w:p>
      <w:pPr>
        <w:pStyle w:val="Heading2"/>
      </w:pPr>
      <w:r>
        <w:t xml:space="preserve">The tools used at each stage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Stage</w:t>
            </w:r>
          </w:p>
        </w:tc>
        <w:tc>
          <w:tcPr/>
          <w:p>
            <w:pPr>
              <w:pStyle w:val="Compact"/>
            </w:pPr>
            <w:r>
              <w:t xml:space="preserve">Tool</w:t>
            </w:r>
          </w:p>
        </w:tc>
        <w:tc>
          <w:tcPr/>
          <w:p>
            <w:pPr>
              <w:pStyle w:val="Compact"/>
            </w:pPr>
            <w:r>
              <w:t xml:space="preserve">What it does</w:t>
            </w:r>
          </w:p>
        </w:tc>
      </w:tr>
      <w:tr>
        <w:tc>
          <w:tcPr/>
          <w:p>
            <w:pPr>
              <w:pStyle w:val="Compact"/>
            </w:pPr>
            <w:r>
              <w:t xml:space="preserve">Light enrichment</w:t>
            </w:r>
          </w:p>
        </w:tc>
        <w:tc>
          <w:tcPr/>
          <w:p>
            <w:pPr>
              <w:pStyle w:val="Compact"/>
            </w:pPr>
            <w:r>
              <w:t xml:space="preserve">Brave Search API</w:t>
            </w:r>
          </w:p>
        </w:tc>
        <w:tc>
          <w:tcPr/>
          <w:p>
            <w:pPr>
              <w:pStyle w:val="Compact"/>
            </w:pPr>
            <w:r>
              <w:t xml:space="preserve">Pulls 3–5 search results per company, AI extracts basic facts</w:t>
            </w:r>
          </w:p>
        </w:tc>
      </w:tr>
      <w:tr>
        <w:tc>
          <w:tcPr/>
          <w:p>
            <w:pPr>
              <w:pStyle w:val="Compact"/>
            </w:pPr>
            <w:r>
              <w:t xml:space="preserve">Site scraping</w:t>
            </w:r>
          </w:p>
        </w:tc>
        <w:tc>
          <w:tcPr/>
          <w:p>
            <w:pPr>
              <w:pStyle w:val="Compact"/>
            </w:pPr>
            <w:r>
              <w:t xml:space="preserve">Firecrawl</w:t>
            </w:r>
          </w:p>
        </w:tc>
        <w:tc>
          <w:tcPr/>
          <w:p>
            <w:pPr>
              <w:pStyle w:val="Compact"/>
            </w:pPr>
            <w:r>
              <w:t xml:space="preserve">When deeper detail needed, scrapes the company’s own site (about page, technology page, news)</w:t>
            </w:r>
          </w:p>
        </w:tc>
      </w:tr>
      <w:tr>
        <w:tc>
          <w:tcPr/>
          <w:p>
            <w:pPr>
              <w:pStyle w:val="Compact"/>
            </w:pPr>
            <w:r>
              <w:t xml:space="preserve">Classification</w:t>
            </w:r>
          </w:p>
        </w:tc>
        <w:tc>
          <w:tcPr/>
          <w:p>
            <w:pPr>
              <w:pStyle w:val="Compact"/>
            </w:pPr>
            <w:r>
              <w:t xml:space="preserve">Claude Sonnet 4 (</w:t>
            </w:r>
            <w:r>
              <w:rPr>
                <w:rStyle w:val="VerbatimChar"/>
              </w:rPr>
              <w:t xml:space="preserve">claude-sonnet-4-20250514</w:t>
            </w:r>
            <w:r>
              <w:t xml:space="preserve">)</w:t>
            </w:r>
          </w:p>
        </w:tc>
        <w:tc>
          <w:tcPr/>
          <w:p>
            <w:pPr>
              <w:pStyle w:val="Compact"/>
            </w:pPr>
            <w:r>
              <w:t xml:space="preserve">Maps free-form descriptions → structured ICP segment + subcategory</w:t>
            </w:r>
          </w:p>
        </w:tc>
      </w:tr>
      <w:tr>
        <w:tc>
          <w:tcPr/>
          <w:p>
            <w:pPr>
              <w:pStyle w:val="Compact"/>
            </w:pPr>
            <w:r>
              <w:t xml:space="preserve">Deep enrichment</w:t>
            </w:r>
          </w:p>
        </w:tc>
        <w:tc>
          <w:tcPr/>
          <w:p>
            <w:pPr>
              <w:pStyle w:val="Compact"/>
            </w:pPr>
            <w:r>
              <w:t xml:space="preserve">Claude Sonnet 4 + retrieved web content</w:t>
            </w:r>
          </w:p>
        </w:tc>
        <w:tc>
          <w:tcPr/>
          <w:p>
            <w:pPr>
              <w:pStyle w:val="Compact"/>
            </w:pPr>
            <w:r>
              <w:t xml:space="preserve">Extracts CARR-specific signals: separation tech, bioreactor type, scale</w:t>
            </w:r>
          </w:p>
        </w:tc>
      </w:tr>
      <w:tr>
        <w:tc>
          <w:tcPr/>
          <w:p>
            <w:pPr>
              <w:pStyle w:val="Compact"/>
            </w:pPr>
            <w:r>
              <w:t xml:space="preserve">Verification</w:t>
            </w:r>
          </w:p>
        </w:tc>
        <w:tc>
          <w:tcPr/>
          <w:p>
            <w:pPr>
              <w:pStyle w:val="Compact"/>
            </w:pPr>
            <w:r>
              <w:rPr>
                <w:rStyle w:val="VerbatimChar"/>
              </w:rPr>
              <w:t xml:space="preserve">validate-data-flag</w:t>
            </w:r>
            <w:r>
              <w:t xml:space="preserve"> </w:t>
            </w:r>
            <w:r>
              <w:t xml:space="preserve">Edge Function</w:t>
            </w:r>
          </w:p>
        </w:tc>
        <w:tc>
          <w:tcPr/>
          <w:p>
            <w:pPr>
              <w:pStyle w:val="Compact"/>
            </w:pPr>
            <w:r>
              <w:t xml:space="preserve">Rep-driven re-check: when a rep flags</w:t>
            </w:r>
            <w:r>
              <w:t xml:space="preserve"> </w:t>
            </w:r>
            <w:r>
              <w:t xml:space="preserve">“this is wrong”</w:t>
            </w:r>
            <w:r>
              <w:t xml:space="preserve">, system re-runs verification</w:t>
            </w:r>
          </w:p>
        </w:tc>
      </w:tr>
      <w:tr>
        <w:tc>
          <w:tcPr/>
          <w:p>
            <w:pPr>
              <w:pStyle w:val="Compact"/>
            </w:pPr>
            <w:r>
              <w:t xml:space="preserve">ICP scoring</w:t>
            </w:r>
          </w:p>
        </w:tc>
        <w:tc>
          <w:tcPr/>
          <w:p>
            <w:pPr>
              <w:pStyle w:val="Compact"/>
            </w:pPr>
            <w:r>
              <w:rPr>
                <w:rStyle w:val="VerbatimChar"/>
              </w:rPr>
              <w:t xml:space="preserve">calculate_icp_score_v2()</w:t>
            </w:r>
            <w:r>
              <w:t xml:space="preserve"> </w:t>
            </w:r>
            <w:r>
              <w:t xml:space="preserve">(PL/pgSQL, deterministic)</w:t>
            </w:r>
          </w:p>
        </w:tc>
        <w:tc>
          <w:tcPr/>
          <w:p>
            <w:pPr>
              <w:pStyle w:val="Compact"/>
            </w:pPr>
            <w:r>
              <w:t xml:space="preserve">Uses Hub L2 + CARR enrichment + signals to assign tier</w:t>
            </w:r>
          </w:p>
        </w:tc>
      </w:tr>
    </w:tbl>
    <w:p>
      <w:pPr>
        <w:pStyle w:val="BodyText"/>
      </w:pPr>
      <w:r>
        <w:t xml:space="preserve">Two notebooks orchestrate this and are re-runnable:</w:t>
      </w:r>
    </w:p>
    <w:p>
      <w:pPr>
        <w:pStyle w:val="Compact"/>
        <w:numPr>
          <w:ilvl w:val="0"/>
          <w:numId w:val="1001"/>
        </w:numPr>
      </w:pPr>
      <w:r>
        <w:rPr>
          <w:rStyle w:val="VerbatimChar"/>
        </w:rPr>
        <w:t xml:space="preserve">scripts/colab/carr_account_enrichment_v1.ipynb</w:t>
      </w:r>
      <w:r>
        <w:t xml:space="preserve"> </w:t>
      </w:r>
      <w:r>
        <w:t xml:space="preserve">— main enrichment runner</w:t>
      </w:r>
    </w:p>
    <w:p>
      <w:pPr>
        <w:pStyle w:val="Compact"/>
        <w:numPr>
          <w:ilvl w:val="0"/>
          <w:numId w:val="1001"/>
        </w:numPr>
      </w:pPr>
      <w:r>
        <w:t xml:space="preserve">Manual triggers via Hub MCP for batch reprocessing</w:t>
      </w:r>
    </w:p>
    <w:p>
      <w:r>
        <w:pict>
          <v:rect style="width:0;height:1.5pt" o:hralign="center" o:hrstd="t" o:hr="t"/>
        </w:pict>
      </w:r>
    </w:p>
    <w:bookmarkEnd w:id="10"/>
    <w:bookmarkStart w:id="11" w:name="X8137158fb8899f292d2e4cb1a08323e268ec47c"/>
    <w:p>
      <w:pPr>
        <w:pStyle w:val="Heading2"/>
      </w:pPr>
      <w:r>
        <w:t xml:space="preserve">What</w:t>
      </w:r>
      <w:r>
        <w:t xml:space="preserve"> </w:t>
      </w:r>
      <w:r>
        <w:rPr>
          <w:rStyle w:val="VerbatimChar"/>
        </w:rPr>
        <w:t xml:space="preserve">carr_enrichment_data</w:t>
      </w:r>
      <w:r>
        <w:t xml:space="preserve"> </w:t>
      </w:r>
      <w:r>
        <w:t xml:space="preserve">actually contains</w:t>
      </w:r>
    </w:p>
    <w:p>
      <w:pPr>
        <w:pStyle w:val="FirstParagraph"/>
      </w:pPr>
      <w:r>
        <w:t xml:space="preserve">For a fully-enriched therapeutic developer, the JSONB block has roughly:</w:t>
      </w:r>
    </w:p>
    <w:p>
      <w:pPr>
        <w:pStyle w:val="SourceCode"/>
      </w:pPr>
      <w:r>
        <w:rPr>
          <w:rStyle w:val="FunctionTok"/>
        </w:rPr>
        <w:t xml:space="preserve">{</w:t>
      </w:r>
      <w:r>
        <w:br/>
      </w:r>
      <w:r>
        <w:rPr>
          <w:rStyle w:val="NormalTok"/>
        </w:rPr>
        <w:t xml:space="preserve">  </w:t>
      </w:r>
      <w:r>
        <w:rPr>
          <w:rStyle w:val="DataTypeTok"/>
        </w:rPr>
        <w:t xml:space="preserve">"centrifugation_relevance"</w:t>
      </w:r>
      <w:r>
        <w:rPr>
          <w:rStyle w:val="FunctionTok"/>
        </w:rPr>
        <w:t xml:space="preserve">:</w:t>
      </w:r>
      <w:r>
        <w:rPr>
          <w:rStyle w:val="NormalTok"/>
        </w:rPr>
        <w:t xml:space="preserve"> </w:t>
      </w:r>
      <w:r>
        <w:rPr>
          <w:rStyle w:val="StringTok"/>
        </w:rPr>
        <w:t xml:space="preserve">"high"</w:t>
      </w:r>
      <w:r>
        <w:rPr>
          <w:rStyle w:val="FunctionTok"/>
        </w:rPr>
        <w:t xml:space="preserve">,</w:t>
      </w:r>
      <w:r>
        <w:br/>
      </w:r>
      <w:r>
        <w:rPr>
          <w:rStyle w:val="NormalTok"/>
        </w:rPr>
        <w:t xml:space="preserve">  </w:t>
      </w:r>
      <w:r>
        <w:rPr>
          <w:rStyle w:val="DataTypeTok"/>
        </w:rPr>
        <w:t xml:space="preserve">"manufacturing_scale"</w:t>
      </w:r>
      <w:r>
        <w:rPr>
          <w:rStyle w:val="FunctionTok"/>
        </w:rPr>
        <w:t xml:space="preserve">:</w:t>
      </w:r>
      <w:r>
        <w:rPr>
          <w:rStyle w:val="NormalTok"/>
        </w:rPr>
        <w:t xml:space="preserve"> </w:t>
      </w:r>
      <w:r>
        <w:rPr>
          <w:rStyle w:val="StringTok"/>
        </w:rPr>
        <w:t xml:space="preserve">"clinical_pilot_to_commercial"</w:t>
      </w:r>
      <w:r>
        <w:rPr>
          <w:rStyle w:val="FunctionTok"/>
        </w:rPr>
        <w:t xml:space="preserve">,</w:t>
      </w:r>
      <w:r>
        <w:br/>
      </w:r>
      <w:r>
        <w:rPr>
          <w:rStyle w:val="NormalTok"/>
        </w:rPr>
        <w:t xml:space="preserve">  </w:t>
      </w:r>
      <w:r>
        <w:rPr>
          <w:rStyle w:val="DataTypeTok"/>
        </w:rPr>
        <w:t xml:space="preserve">"bioreactor_type"</w:t>
      </w:r>
      <w:r>
        <w:rPr>
          <w:rStyle w:val="FunctionTok"/>
        </w:rPr>
        <w:t xml:space="preserve">:</w:t>
      </w:r>
      <w:r>
        <w:rPr>
          <w:rStyle w:val="NormalTok"/>
        </w:rPr>
        <w:t xml:space="preserve"> </w:t>
      </w:r>
      <w:r>
        <w:rPr>
          <w:rStyle w:val="StringTok"/>
        </w:rPr>
        <w:t xml:space="preserve">"stirred_tank_bioreactor"</w:t>
      </w:r>
      <w:r>
        <w:rPr>
          <w:rStyle w:val="FunctionTok"/>
        </w:rPr>
        <w:t xml:space="preserve">,</w:t>
      </w:r>
      <w:r>
        <w:br/>
      </w:r>
      <w:r>
        <w:rPr>
          <w:rStyle w:val="NormalTok"/>
        </w:rPr>
        <w:t xml:space="preserve">  </w:t>
      </w:r>
      <w:r>
        <w:rPr>
          <w:rStyle w:val="DataTypeTok"/>
        </w:rPr>
        <w:t xml:space="preserve">"current_separation_technology"</w:t>
      </w:r>
      <w:r>
        <w:rPr>
          <w:rStyle w:val="FunctionTok"/>
        </w:rPr>
        <w:t xml:space="preserve">:</w:t>
      </w:r>
      <w:r>
        <w:rPr>
          <w:rStyle w:val="NormalTok"/>
        </w:rPr>
        <w:t xml:space="preserve"> </w:t>
      </w:r>
      <w:r>
        <w:rPr>
          <w:rStyle w:val="StringTok"/>
        </w:rPr>
        <w:t xml:space="preserve">"Cytiva ÄKTA + Beckman Coulter Optima"</w:t>
      </w:r>
      <w:r>
        <w:rPr>
          <w:rStyle w:val="FunctionTok"/>
        </w:rPr>
        <w:t xml:space="preserve">,</w:t>
      </w:r>
      <w:r>
        <w:br/>
      </w:r>
      <w:r>
        <w:rPr>
          <w:rStyle w:val="NormalTok"/>
        </w:rPr>
        <w:t xml:space="preserve">  </w:t>
      </w:r>
      <w:r>
        <w:rPr>
          <w:rStyle w:val="DataTypeTok"/>
        </w:rPr>
        <w:t xml:space="preserve">"key_partnerships"</w:t>
      </w:r>
      <w:r>
        <w:rPr>
          <w:rStyle w:val="FunctionTok"/>
        </w:rPr>
        <w:t xml:space="preserve">:</w:t>
      </w:r>
      <w:r>
        <w:rPr>
          <w:rStyle w:val="NormalTok"/>
        </w:rPr>
        <w:t xml:space="preserve"> </w:t>
      </w:r>
      <w:r>
        <w:rPr>
          <w:rStyle w:val="OtherTok"/>
        </w:rPr>
        <w:t xml:space="preserve">[</w:t>
      </w:r>
      <w:r>
        <w:rPr>
          <w:rStyle w:val="StringTok"/>
        </w:rPr>
        <w:t xml:space="preserve">"Lonza"</w:t>
      </w:r>
      <w:r>
        <w:rPr>
          <w:rStyle w:val="OtherTok"/>
        </w:rPr>
        <w:t xml:space="preserve">,</w:t>
      </w:r>
      <w:r>
        <w:rPr>
          <w:rStyle w:val="NormalTok"/>
        </w:rPr>
        <w:t xml:space="preserve"> </w:t>
      </w:r>
      <w:r>
        <w:rPr>
          <w:rStyle w:val="StringTok"/>
        </w:rPr>
        <w:t xml:space="preserve">"Catalent"</w:t>
      </w:r>
      <w:r>
        <w:rPr>
          <w:rStyle w:val="OtherTok"/>
        </w:rPr>
        <w:t xml:space="preserve">]</w:t>
      </w:r>
      <w:r>
        <w:rPr>
          <w:rStyle w:val="FunctionTok"/>
        </w:rPr>
        <w:t xml:space="preserve">,</w:t>
      </w:r>
      <w:r>
        <w:br/>
      </w:r>
      <w:r>
        <w:rPr>
          <w:rStyle w:val="NormalTok"/>
        </w:rPr>
        <w:t xml:space="preserve">  </w:t>
      </w:r>
      <w:r>
        <w:rPr>
          <w:rStyle w:val="DataTypeTok"/>
        </w:rPr>
        <w:t xml:space="preserve">"equipment_signals"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rPr>
          <w:rStyle w:val="DataTypeTok"/>
        </w:rPr>
        <w:t xml:space="preserve">"signal"</w:t>
      </w:r>
      <w:r>
        <w:rPr>
          <w:rStyle w:val="FunctionTok"/>
        </w:rPr>
        <w:t xml:space="preserve">:</w:t>
      </w:r>
      <w:r>
        <w:rPr>
          <w:rStyle w:val="NormalTok"/>
        </w:rPr>
        <w:t xml:space="preserve"> </w:t>
      </w:r>
      <w:r>
        <w:rPr>
          <w:rStyle w:val="StringTok"/>
        </w:rPr>
        <w:t xml:space="preserve">"Phase 2 facility expansion announced"</w:t>
      </w:r>
      <w:r>
        <w:rPr>
          <w:rStyle w:val="FunctionTok"/>
        </w:rPr>
        <w:t xml:space="preserve">,</w:t>
      </w:r>
      <w:r>
        <w:rPr>
          <w:rStyle w:val="NormalTok"/>
        </w:rPr>
        <w:t xml:space="preserve"> </w:t>
      </w:r>
      <w:r>
        <w:rPr>
          <w:rStyle w:val="DataTypeTok"/>
        </w:rPr>
        <w:t xml:space="preserve">"date"</w:t>
      </w:r>
      <w:r>
        <w:rPr>
          <w:rStyle w:val="FunctionTok"/>
        </w:rPr>
        <w:t xml:space="preserve">:</w:t>
      </w:r>
      <w:r>
        <w:rPr>
          <w:rStyle w:val="NormalTok"/>
        </w:rPr>
        <w:t xml:space="preserve"> </w:t>
      </w:r>
      <w:r>
        <w:rPr>
          <w:rStyle w:val="StringTok"/>
        </w:rPr>
        <w:t xml:space="preserve">"2026-03-14"</w:t>
      </w:r>
      <w:r>
        <w:rPr>
          <w:rStyle w:val="FunctionTok"/>
        </w:rPr>
        <w:t xml:space="preserve">,</w:t>
      </w:r>
      <w:r>
        <w:rPr>
          <w:rStyle w:val="NormalTok"/>
        </w:rPr>
        <w:t xml:space="preserve"> </w:t>
      </w:r>
      <w:r>
        <w:rPr>
          <w:rStyle w:val="DataTypeTok"/>
        </w:rPr>
        <w:t xml:space="preserve">"source"</w:t>
      </w:r>
      <w:r>
        <w:rPr>
          <w:rStyle w:val="FunctionTok"/>
        </w:rPr>
        <w:t xml:space="preserve">:</w:t>
      </w:r>
      <w:r>
        <w:rPr>
          <w:rStyle w:val="NormalTok"/>
        </w:rPr>
        <w:t xml:space="preserve"> </w:t>
      </w:r>
      <w:r>
        <w:rPr>
          <w:rStyle w:val="StringTok"/>
        </w:rPr>
        <w:t xml:space="preserve">"press_release"</w:t>
      </w:r>
      <w:r>
        <w:rPr>
          <w:rStyle w:val="FunctionTok"/>
        </w:rPr>
        <w:t xml:space="preserve">}</w:t>
      </w:r>
      <w:r>
        <w:rPr>
          <w:rStyle w:val="OtherTok"/>
        </w:rPr>
        <w:t xml:space="preserve">,</w:t>
      </w:r>
      <w:r>
        <w:br/>
      </w:r>
      <w:r>
        <w:rPr>
          <w:rStyle w:val="NormalTok"/>
        </w:rPr>
        <w:t xml:space="preserve">    </w:t>
      </w:r>
      <w:r>
        <w:rPr>
          <w:rStyle w:val="FunctionTok"/>
        </w:rPr>
        <w:t xml:space="preserve">{</w:t>
      </w:r>
      <w:r>
        <w:rPr>
          <w:rStyle w:val="DataTypeTok"/>
        </w:rPr>
        <w:t xml:space="preserve">"signal"</w:t>
      </w:r>
      <w:r>
        <w:rPr>
          <w:rStyle w:val="FunctionTok"/>
        </w:rPr>
        <w:t xml:space="preserve">:</w:t>
      </w:r>
      <w:r>
        <w:rPr>
          <w:rStyle w:val="NormalTok"/>
        </w:rPr>
        <w:t xml:space="preserve"> </w:t>
      </w:r>
      <w:r>
        <w:rPr>
          <w:rStyle w:val="StringTok"/>
        </w:rPr>
        <w:t xml:space="preserve">"New CTO with manufacturing background"</w:t>
      </w:r>
      <w:r>
        <w:rPr>
          <w:rStyle w:val="FunctionTok"/>
        </w:rPr>
        <w:t xml:space="preserve">,</w:t>
      </w:r>
      <w:r>
        <w:rPr>
          <w:rStyle w:val="NormalTok"/>
        </w:rPr>
        <w:t xml:space="preserve"> </w:t>
      </w:r>
      <w:r>
        <w:rPr>
          <w:rStyle w:val="DataTypeTok"/>
        </w:rPr>
        <w:t xml:space="preserve">"date"</w:t>
      </w:r>
      <w:r>
        <w:rPr>
          <w:rStyle w:val="FunctionTok"/>
        </w:rPr>
        <w:t xml:space="preserve">:</w:t>
      </w:r>
      <w:r>
        <w:rPr>
          <w:rStyle w:val="NormalTok"/>
        </w:rPr>
        <w:t xml:space="preserve"> </w:t>
      </w:r>
      <w:r>
        <w:rPr>
          <w:rStyle w:val="StringTok"/>
        </w:rPr>
        <w:t xml:space="preserve">"2026-02-20"</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"carr_fit_summary"</w:t>
      </w:r>
      <w:r>
        <w:rPr>
          <w:rStyle w:val="FunctionTok"/>
        </w:rPr>
        <w:t xml:space="preserve">:</w:t>
      </w:r>
      <w:r>
        <w:rPr>
          <w:rStyle w:val="NormalTok"/>
        </w:rPr>
        <w:t xml:space="preserve"> </w:t>
      </w:r>
      <w:r>
        <w:rPr>
          <w:rStyle w:val="StringTok"/>
        </w:rPr>
        <w:t xml:space="preserve">"Allogeneic CAR-T pipeline, two Phase 2 trials. Current Cytiva-based downstream — likely candidate for UniFuge UF Pilot at clinical scale."</w:t>
      </w:r>
      <w:r>
        <w:rPr>
          <w:rStyle w:val="FunctionTok"/>
        </w:rPr>
        <w:t xml:space="preserve">,</w:t>
      </w:r>
      <w:r>
        <w:br/>
      </w:r>
      <w:r>
        <w:rPr>
          <w:rStyle w:val="NormalTok"/>
        </w:rPr>
        <w:t xml:space="preserve">  </w:t>
      </w:r>
      <w:r>
        <w:rPr>
          <w:rStyle w:val="DataTypeTok"/>
        </w:rPr>
        <w:t xml:space="preserve">"competitive_overlap"</w:t>
      </w:r>
      <w:r>
        <w:rPr>
          <w:rStyle w:val="FunctionTok"/>
        </w:rPr>
        <w:t xml:space="preserve">:</w:t>
      </w:r>
      <w:r>
        <w:rPr>
          <w:rStyle w:val="NormalTok"/>
        </w:rPr>
        <w:t xml:space="preserve"> </w:t>
      </w:r>
      <w:r>
        <w:rPr>
          <w:rStyle w:val="OtherTok"/>
        </w:rPr>
        <w:t xml:space="preserve">[</w:t>
      </w:r>
      <w:r>
        <w:rPr>
          <w:rStyle w:val="StringTok"/>
        </w:rPr>
        <w:t xml:space="preserve">"Cytiva"</w:t>
      </w:r>
      <w:r>
        <w:rPr>
          <w:rStyle w:val="OtherTok"/>
        </w:rPr>
        <w:t xml:space="preserve">,</w:t>
      </w:r>
      <w:r>
        <w:rPr>
          <w:rStyle w:val="NormalTok"/>
        </w:rPr>
        <w:t xml:space="preserve"> </w:t>
      </w:r>
      <w:r>
        <w:rPr>
          <w:rStyle w:val="StringTok"/>
        </w:rPr>
        <w:t xml:space="preserve">"Beckman"</w:t>
      </w:r>
      <w:r>
        <w:rPr>
          <w:rStyle w:val="OtherTok"/>
        </w:rPr>
        <w:t xml:space="preserve">]</w:t>
      </w:r>
      <w:r>
        <w:rPr>
          <w:rStyle w:val="FunctionTok"/>
        </w:rPr>
        <w:t xml:space="preserve">,</w:t>
      </w:r>
      <w:r>
        <w:br/>
      </w:r>
      <w:r>
        <w:rPr>
          <w:rStyle w:val="NormalTok"/>
        </w:rPr>
        <w:t xml:space="preserve">  </w:t>
      </w:r>
      <w:r>
        <w:rPr>
          <w:rStyle w:val="DataTypeTok"/>
        </w:rPr>
        <w:t xml:space="preserve">"objections_anticipated"</w:t>
      </w:r>
      <w:r>
        <w:rPr>
          <w:rStyle w:val="FunctionTok"/>
        </w:rPr>
        <w:t xml:space="preserve">:</w:t>
      </w:r>
      <w:r>
        <w:rPr>
          <w:rStyle w:val="NormalTok"/>
        </w:rPr>
        <w:t xml:space="preserve"> </w:t>
      </w:r>
      <w:r>
        <w:rPr>
          <w:rStyle w:val="OtherTok"/>
        </w:rPr>
        <w:t xml:space="preserve">[</w:t>
      </w:r>
      <w:r>
        <w:rPr>
          <w:rStyle w:val="StringTok"/>
        </w:rPr>
        <w:t xml:space="preserve">"validated_workflow_change_cost"</w:t>
      </w:r>
      <w:r>
        <w:rPr>
          <w:rStyle w:val="OtherTok"/>
        </w:rPr>
        <w:t xml:space="preserve">]</w:t>
      </w:r>
      <w:r>
        <w:br/>
      </w:r>
      <w:r>
        <w:rPr>
          <w:rStyle w:val="FunctionTok"/>
        </w:rPr>
        <w:t xml:space="preserve">}</w:t>
      </w:r>
    </w:p>
    <w:p>
      <w:pPr>
        <w:pStyle w:val="FirstParagraph"/>
      </w:pPr>
      <w:r>
        <w:t xml:space="preserve">This is</w:t>
      </w:r>
      <w:r>
        <w:t xml:space="preserve"> </w:t>
      </w:r>
      <w:r>
        <w:rPr>
          <w:b/>
          <w:bCs/>
        </w:rPr>
        <w:t xml:space="preserve">not generic enrichment</w:t>
      </w:r>
      <w:r>
        <w:t xml:space="preserve">. Apollo, ZoomInfo, etc. don’t have</w:t>
      </w:r>
      <w:r>
        <w:t xml:space="preserve"> </w:t>
      </w:r>
      <w:r>
        <w:t xml:space="preserve">“what separation technology does this CGT company currently use”</w:t>
      </w:r>
      <w:r>
        <w:t xml:space="preserve"> </w:t>
      </w:r>
      <w:r>
        <w:t xml:space="preserve">as a field — because it requires CARR-specific domain reasoning. That’s why it’s built rather than bought.</w:t>
      </w:r>
    </w:p>
    <w:p>
      <w:r>
        <w:pict>
          <v:rect style="width:0;height:1.5pt" o:hralign="center" o:hrstd="t" o:hr="t"/>
        </w:pict>
      </w:r>
    </w:p>
    <w:bookmarkEnd w:id="11"/>
    <w:bookmarkStart w:id="12" w:name="how-the-enriched-data-is-used-downstream"/>
    <w:p>
      <w:pPr>
        <w:pStyle w:val="Heading2"/>
      </w:pPr>
      <w:r>
        <w:t xml:space="preserve">How the enriched data is used downstream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Downstream layer</w:t>
            </w:r>
          </w:p>
        </w:tc>
        <w:tc>
          <w:tcPr/>
          <w:p>
            <w:pPr>
              <w:pStyle w:val="Compact"/>
            </w:pPr>
            <w:r>
              <w:t xml:space="preserve">What it pulls from enrichment</w:t>
            </w:r>
          </w:p>
        </w:tc>
      </w:tr>
      <w:tr>
        <w:tc>
          <w:tcPr/>
          <w:p>
            <w:pPr>
              <w:pStyle w:val="Compact"/>
            </w:pPr>
            <w:r>
              <w:t xml:space="preserve">Message generation</w:t>
            </w:r>
          </w:p>
        </w:tc>
        <w:tc>
          <w:tcPr/>
          <w:p>
            <w:pPr>
              <w:pStyle w:val="Compact"/>
            </w:pPr>
            <w:r>
              <w:rPr>
                <w:rStyle w:val="VerbatimChar"/>
              </w:rPr>
              <w:t xml:space="preserve">competitive_positioning</w:t>
            </w:r>
            <w:r>
              <w:t xml:space="preserve"> </w:t>
            </w:r>
            <w:r>
              <w:t xml:space="preserve">match,</w:t>
            </w:r>
            <w:r>
              <w:t xml:space="preserve"> </w:t>
            </w:r>
            <w:r>
              <w:rPr>
                <w:rStyle w:val="VerbatimChar"/>
              </w:rPr>
              <w:t xml:space="preserve">carr_fit_summary</w:t>
            </w:r>
            <w:r>
              <w:t xml:space="preserve">,</w:t>
            </w:r>
            <w:r>
              <w:t xml:space="preserve"> </w:t>
            </w:r>
            <w:r>
              <w:rPr>
                <w:rStyle w:val="VerbatimChar"/>
              </w:rPr>
              <w:t xml:space="preserve">manufacturing_scale</w:t>
            </w:r>
            <w:r>
              <w:t xml:space="preserve"> </w:t>
            </w:r>
            <w:r>
              <w:t xml:space="preserve">into the prompt’s</w:t>
            </w:r>
            <w:r>
              <w:t xml:space="preserve"> </w:t>
            </w:r>
            <w:r>
              <w:t xml:space="preserve">“Their company”</w:t>
            </w:r>
            <w:r>
              <w:t xml:space="preserve"> </w:t>
            </w:r>
            <w:r>
              <w:t xml:space="preserve">block</w:t>
            </w:r>
          </w:p>
        </w:tc>
      </w:tr>
      <w:tr>
        <w:tc>
          <w:tcPr/>
          <w:p>
            <w:pPr>
              <w:pStyle w:val="Compact"/>
            </w:pPr>
            <w:r>
              <w:t xml:space="preserve">ICP scoring</w:t>
            </w:r>
          </w:p>
        </w:tc>
        <w:tc>
          <w:tcPr/>
          <w:p>
            <w:pPr>
              <w:pStyle w:val="Compact"/>
            </w:pPr>
            <w:r>
              <w:t xml:space="preserve">All four dimensions read from the JSONB</w:t>
            </w:r>
          </w:p>
        </w:tc>
      </w:tr>
      <w:tr>
        <w:tc>
          <w:tcPr/>
          <w:p>
            <w:pPr>
              <w:pStyle w:val="Compact"/>
            </w:pPr>
            <w:r>
              <w:t xml:space="preserve">Target Universe UI</w:t>
            </w:r>
          </w:p>
        </w:tc>
        <w:tc>
          <w:tcPr/>
          <w:p>
            <w:pPr>
              <w:pStyle w:val="Compact"/>
            </w:pPr>
            <w:r>
              <w:t xml:space="preserve">“CARR Fit”</w:t>
            </w:r>
            <w:r>
              <w:t xml:space="preserve"> </w:t>
            </w:r>
            <w:r>
              <w:t xml:space="preserve">badge on account rows, surfaced in Gold Sheet</w:t>
            </w:r>
          </w:p>
        </w:tc>
      </w:tr>
      <w:tr>
        <w:tc>
          <w:tcPr/>
          <w:p>
            <w:pPr>
              <w:pStyle w:val="Compact"/>
            </w:pPr>
            <w:r>
              <w:t xml:space="preserve">Account Detail Gold Sheet</w:t>
            </w:r>
          </w:p>
        </w:tc>
        <w:tc>
          <w:tcPr/>
          <w:p>
            <w:pPr>
              <w:pStyle w:val="Compact"/>
            </w:pPr>
            <w:r>
              <w:t xml:space="preserve">First-tab consolidated intelligence view</w:t>
            </w:r>
          </w:p>
        </w:tc>
      </w:tr>
      <w:tr>
        <w:tc>
          <w:tcPr/>
          <w:p>
            <w:pPr>
              <w:pStyle w:val="Compact"/>
            </w:pPr>
            <w:r>
              <w:t xml:space="preserve">Campaign list-building</w:t>
            </w:r>
          </w:p>
        </w:tc>
        <w:tc>
          <w:tcPr/>
          <w:p>
            <w:pPr>
              <w:pStyle w:val="Compact"/>
            </w:pPr>
            <w:r>
              <w:t xml:space="preserve">Filter by</w:t>
            </w:r>
            <w:r>
              <w:t xml:space="preserve"> </w:t>
            </w:r>
            <w:r>
              <w:rPr>
                <w:rStyle w:val="VerbatimChar"/>
              </w:rPr>
              <w:t xml:space="preserve">manufacturing_scale</w:t>
            </w:r>
            <w:r>
              <w:t xml:space="preserve">,</w:t>
            </w:r>
            <w:r>
              <w:t xml:space="preserve"> </w:t>
            </w:r>
            <w:r>
              <w:rPr>
                <w:rStyle w:val="VerbatimChar"/>
              </w:rPr>
              <w:t xml:space="preserve">bioreactor_type</w:t>
            </w:r>
            <w:r>
              <w:t xml:space="preserve">,</w:t>
            </w:r>
            <w:r>
              <w:t xml:space="preserve"> </w:t>
            </w:r>
            <w:r>
              <w:rPr>
                <w:rStyle w:val="VerbatimChar"/>
              </w:rPr>
              <w:t xml:space="preserve">separation_technology</w:t>
            </w:r>
          </w:p>
        </w:tc>
      </w:tr>
      <w:tr>
        <w:tc>
          <w:tcPr/>
          <w:p>
            <w:pPr>
              <w:pStyle w:val="Compact"/>
            </w:pPr>
            <w:r>
              <w:t xml:space="preserve">Pipeline Blue Sheet generation</w:t>
            </w:r>
          </w:p>
        </w:tc>
        <w:tc>
          <w:tcPr/>
          <w:p>
            <w:pPr>
              <w:pStyle w:val="Compact"/>
            </w:pPr>
            <w:r>
              <w:t xml:space="preserve">Pre-fills Anticipated Objections, Credibility Elements</w:t>
            </w:r>
          </w:p>
        </w:tc>
      </w:tr>
    </w:tbl>
    <w:p>
      <w:r>
        <w:pict>
          <v:rect style="width:0;height:1.5pt" o:hralign="center" o:hrstd="t" o:hr="t"/>
        </w:pict>
      </w:r>
    </w:p>
    <w:bookmarkEnd w:id="12"/>
    <w:bookmarkStart w:id="13" w:name="coverage-today"/>
    <w:p>
      <w:pPr>
        <w:pStyle w:val="Heading2"/>
      </w:pPr>
      <w:r>
        <w:t xml:space="preserve">Coverage today</w:t>
      </w:r>
    </w:p>
    <w:p>
      <w:pPr>
        <w:pStyle w:val="FirstParagraph"/>
      </w:pPr>
      <w:r>
        <w:t xml:space="preserve">From the May 11 system overview:</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Coverage metric</w:t>
            </w:r>
          </w:p>
        </w:tc>
        <w:tc>
          <w:tcPr/>
          <w:p>
            <w:pPr>
              <w:pStyle w:val="Compact"/>
            </w:pPr>
            <w:r>
              <w:t xml:space="preserve">Value</w:t>
            </w:r>
          </w:p>
        </w:tc>
      </w:tr>
      <w:tr>
        <w:tc>
          <w:tcPr/>
          <w:p>
            <w:pPr>
              <w:pStyle w:val="Compact"/>
            </w:pPr>
            <w:r>
              <w:t xml:space="preserve">Accounts with</w:t>
            </w:r>
            <w:r>
              <w:t xml:space="preserve"> </w:t>
            </w:r>
            <w:r>
              <w:rPr>
                <w:rStyle w:val="VerbatimChar"/>
              </w:rPr>
              <w:t xml:space="preserve">icp_segment</w:t>
            </w:r>
          </w:p>
        </w:tc>
        <w:tc>
          <w:tcPr/>
          <w:p>
            <w:pPr>
              <w:pStyle w:val="Compact"/>
            </w:pPr>
            <w:r>
              <w:t xml:space="preserve">3,945 / 3,964 (99.6%)</w:t>
            </w:r>
          </w:p>
        </w:tc>
      </w:tr>
      <w:tr>
        <w:tc>
          <w:tcPr/>
          <w:p>
            <w:pPr>
              <w:pStyle w:val="Compact"/>
            </w:pPr>
            <w:r>
              <w:t xml:space="preserve">Accounts with Hub L2 enrichment</w:t>
            </w:r>
          </w:p>
        </w:tc>
        <w:tc>
          <w:tcPr/>
          <w:p>
            <w:pPr>
              <w:pStyle w:val="Compact"/>
            </w:pPr>
            <w:r>
              <w:t xml:space="preserve">2,973 / 3,964 (75%)</w:t>
            </w:r>
          </w:p>
        </w:tc>
      </w:tr>
      <w:tr>
        <w:tc>
          <w:tcPr/>
          <w:p>
            <w:pPr>
              <w:pStyle w:val="Compact"/>
            </w:pPr>
            <w:r>
              <w:t xml:space="preserve">Accounts with</w:t>
            </w:r>
            <w:r>
              <w:t xml:space="preserve"> </w:t>
            </w:r>
            <w:r>
              <w:rPr>
                <w:rStyle w:val="VerbatimChar"/>
              </w:rPr>
              <w:t xml:space="preserve">carr_enrichment_data</w:t>
            </w:r>
            <w:r>
              <w:t xml:space="preserve"> </w:t>
            </w:r>
            <w:r>
              <w:t xml:space="preserve">(CARR-side deep)</w:t>
            </w:r>
          </w:p>
        </w:tc>
        <w:tc>
          <w:tcPr/>
          <w:p>
            <w:pPr>
              <w:pStyle w:val="Compact"/>
            </w:pPr>
            <w:r>
              <w:t xml:space="preserve">Run on Tier 1/2 priority; runs are batch and resumable</w:t>
            </w:r>
          </w:p>
        </w:tc>
      </w:tr>
      <w:tr>
        <w:tc>
          <w:tcPr/>
          <w:p>
            <w:pPr>
              <w:pStyle w:val="Compact"/>
            </w:pPr>
            <w:r>
              <w:t xml:space="preserve">Accounts with ICP tier</w:t>
            </w:r>
          </w:p>
        </w:tc>
        <w:tc>
          <w:tcPr/>
          <w:p>
            <w:pPr>
              <w:pStyle w:val="Compact"/>
            </w:pPr>
            <w:r>
              <w:t xml:space="preserve">2,323 (active)</w:t>
            </w:r>
          </w:p>
        </w:tc>
      </w:tr>
      <w:tr>
        <w:tc>
          <w:tcPr/>
          <w:p>
            <w:pPr>
              <w:pStyle w:val="Compact"/>
            </w:pPr>
            <w:r>
              <w:t xml:space="preserve">Accounts with</w:t>
            </w:r>
            <w:r>
              <w:t xml:space="preserve"> </w:t>
            </w:r>
            <w:r>
              <w:rPr>
                <w:rStyle w:val="VerbatimChar"/>
              </w:rPr>
              <w:t xml:space="preserve">account_signals</w:t>
            </w:r>
            <w:r>
              <w:t xml:space="preserve"> </w:t>
            </w:r>
            <w:r>
              <w:t xml:space="preserve">(news/trials/grants)</w:t>
            </w:r>
          </w:p>
        </w:tc>
        <w:tc>
          <w:tcPr/>
          <w:p>
            <w:pPr>
              <w:pStyle w:val="Compact"/>
            </w:pPr>
            <w:r>
              <w:t xml:space="preserve">89% of CGT-active accounts have at least one signal</w:t>
            </w:r>
          </w:p>
        </w:tc>
      </w:tr>
    </w:tbl>
    <w:p>
      <w:pPr>
        <w:pStyle w:val="BodyText"/>
      </w:pPr>
      <w:r>
        <w:t xml:space="preserve">The 25% gap on Hub L2 coverage is primarily:</w:t>
      </w:r>
      <w:r>
        <w:t xml:space="preserve"> </w:t>
      </w:r>
      <w:r>
        <w:t xml:space="preserve">- Very small / very new companies (web footprint too thin for reliable extraction)</w:t>
      </w:r>
      <w:r>
        <w:t xml:space="preserve"> </w:t>
      </w:r>
      <w:r>
        <w:t xml:space="preserve">- Stealth-mode companies (deliberate web absence)</w:t>
      </w:r>
      <w:r>
        <w:t xml:space="preserve"> </w:t>
      </w:r>
      <w:r>
        <w:t xml:space="preserve">- Academic institutions (use grants/trials instead of enrichment)</w:t>
      </w:r>
    </w:p>
    <w:p>
      <w:r>
        <w:pict>
          <v:rect style="width:0;height:1.5pt" o:hralign="center" o:hrstd="t" o:hr="t"/>
        </w:pict>
      </w:r>
    </w:p>
    <w:bookmarkEnd w:id="13"/>
    <w:bookmarkStart w:id="14" w:name="verification-the-rep-loop"/>
    <w:p>
      <w:pPr>
        <w:pStyle w:val="Heading2"/>
      </w:pPr>
      <w:r>
        <w:t xml:space="preserve">Verification — the rep loop</w:t>
      </w:r>
    </w:p>
    <w:p>
      <w:pPr>
        <w:pStyle w:val="FirstParagraph"/>
      </w:pPr>
      <w:r>
        <w:t xml:space="preserve">A key Month-3 addition:</w:t>
      </w:r>
      <w:r>
        <w:t xml:space="preserve"> </w:t>
      </w:r>
      <w:r>
        <w:rPr>
          <w:rStyle w:val="VerbatimChar"/>
          <w:b/>
          <w:bCs/>
        </w:rPr>
        <w:t xml:space="preserve">rep_note_validations</w:t>
      </w:r>
      <w:r>
        <w:t xml:space="preserve"> </w:t>
      </w:r>
      <w:r>
        <w:t xml:space="preserve">table (518 verdicts to date) closes the loop between rep observations and AI enrichment.</w:t>
      </w:r>
    </w:p>
    <w:p>
      <w:pPr>
        <w:pStyle w:val="SourceCode"/>
      </w:pPr>
      <w:r>
        <w:rPr>
          <w:rStyle w:val="VerbatimChar"/>
        </w:rPr>
        <w:t xml:space="preserve">Rep enters note ("this company was acquired by X" / "they're a small-molecule company, not CGT")</w:t>
      </w:r>
      <w:r>
        <w:br/>
      </w:r>
      <w:r>
        <w:rPr>
          <w:rStyle w:val="VerbatimChar"/>
        </w:rPr>
        <w:t xml:space="preserve">   ↓</w:t>
      </w:r>
      <w:r>
        <w:br/>
      </w:r>
      <w:r>
        <w:rPr>
          <w:rStyle w:val="VerbatimChar"/>
        </w:rPr>
        <w:t xml:space="preserve">validate-data-flag EF runs (Brave Search + Firecrawl + Claude verification)</w:t>
      </w:r>
      <w:r>
        <w:br/>
      </w:r>
      <w:r>
        <w:rPr>
          <w:rStyle w:val="VerbatimChar"/>
        </w:rPr>
        <w:t xml:space="preserve">   ↓</w:t>
      </w:r>
      <w:r>
        <w:br/>
      </w:r>
      <w:r>
        <w:rPr>
          <w:rStyle w:val="VerbatimChar"/>
        </w:rPr>
        <w:t xml:space="preserve">Verdict: confirmed (21) | refuted (5) | inconclusive (53) — sample numbers from Nico's notes audit</w:t>
      </w:r>
      <w:r>
        <w:br/>
      </w:r>
      <w:r>
        <w:rPr>
          <w:rStyle w:val="VerbatimChar"/>
        </w:rPr>
        <w:t xml:space="preserve">   ↓</w:t>
      </w:r>
      <w:r>
        <w:br/>
      </w:r>
      <w:r>
        <w:rPr>
          <w:rStyle w:val="VerbatimChar"/>
        </w:rPr>
        <w:t xml:space="preserve">Recommended action: accept rep claim / update DB / flag for human review</w:t>
      </w:r>
      <w:r>
        <w:br/>
      </w:r>
      <w:r>
        <w:rPr>
          <w:rStyle w:val="VerbatimChar"/>
        </w:rPr>
        <w:t xml:space="preserve">   ↓</w:t>
      </w:r>
      <w:r>
        <w:br/>
      </w:r>
      <w:r>
        <w:rPr>
          <w:rStyle w:val="VerbatimChar"/>
        </w:rPr>
        <w:t xml:space="preserve">Rep approves → DB updated; rep rejects → kept as-is</w:t>
      </w:r>
    </w:p>
    <w:p>
      <w:pPr>
        <w:pStyle w:val="FirstParagraph"/>
      </w:pPr>
      <w:r>
        <w:t xml:space="preserve">This was built in response to the Nico-notes audit (April 22, 2026) which found:</w:t>
      </w:r>
      <w:r>
        <w:t xml:space="preserve"> </w:t>
      </w:r>
      <w:r>
        <w:t xml:space="preserve">- 49 of his 222 notes were</w:t>
      </w:r>
      <w:r>
        <w:t xml:space="preserve"> </w:t>
      </w:r>
      <w:r>
        <w:t xml:space="preserve">“too small / too early”</w:t>
      </w:r>
      <w:r>
        <w:t xml:space="preserve"> </w:t>
      </w:r>
      <w:r>
        <w:t xml:space="preserve">calls — a heuristic the AI couldn’t replicate without him</w:t>
      </w:r>
      <w:r>
        <w:t xml:space="preserve"> </w:t>
      </w:r>
      <w:r>
        <w:t xml:space="preserve">- 23 notes were</w:t>
      </w:r>
      <w:r>
        <w:t xml:space="preserve"> </w:t>
      </w:r>
      <w:r>
        <w:t xml:space="preserve">“wrong therapeutic space”</w:t>
      </w:r>
      <w:r>
        <w:t xml:space="preserve"> </w:t>
      </w:r>
      <w:r>
        <w:t xml:space="preserve">— companies that had pivoted away from CGT</w:t>
      </w:r>
      <w:r>
        <w:t xml:space="preserve"> </w:t>
      </w:r>
      <w:r>
        <w:t xml:space="preserve">- 5 of 79 validated claims were refuted by the agent (e.g., Treadwell — rep said</w:t>
      </w:r>
      <w:r>
        <w:t xml:space="preserve"> </w:t>
      </w:r>
      <w:r>
        <w:t xml:space="preserve">“small molecule,”</w:t>
      </w:r>
      <w:r>
        <w:t xml:space="preserve"> </w:t>
      </w:r>
      <w:r>
        <w:t xml:space="preserve">agent found</w:t>
      </w:r>
      <w:r>
        <w:t xml:space="preserve"> </w:t>
      </w:r>
      <w:r>
        <w:t xml:space="preserve">“clinical-stage oncology”</w:t>
      </w:r>
      <w:r>
        <w:t xml:space="preserve">)</w:t>
      </w:r>
    </w:p>
    <w:p>
      <w:pPr>
        <w:pStyle w:val="BodyText"/>
      </w:pPr>
      <w:r>
        <w:t xml:space="preserve">So the system is now structured to:</w:t>
      </w:r>
      <w:r>
        <w:t xml:space="preserve"> </w:t>
      </w:r>
      <w:r>
        <w:t xml:space="preserve">- Capture rep observations attributably (per-user</w:t>
      </w:r>
      <w:r>
        <w:t xml:space="preserve"> </w:t>
      </w:r>
      <w:r>
        <w:rPr>
          <w:rStyle w:val="VerbatimChar"/>
        </w:rPr>
        <w:t xml:space="preserve">performed_by_id</w:t>
      </w:r>
      <w:r>
        <w:t xml:space="preserve"> </w:t>
      </w:r>
      <w:r>
        <w:t xml:space="preserve">on</w:t>
      </w:r>
      <w:r>
        <w:t xml:space="preserve"> </w:t>
      </w:r>
      <w:r>
        <w:rPr>
          <w:rStyle w:val="VerbatimChar"/>
        </w:rPr>
        <w:t xml:space="preserve">account_activities</w:t>
      </w:r>
      <w:r>
        <w:t xml:space="preserve">)</w:t>
      </w:r>
      <w:r>
        <w:t xml:space="preserve"> </w:t>
      </w:r>
      <w:r>
        <w:t xml:space="preserve">- Re-validate stale rep notes (&gt;180 days flag)</w:t>
      </w:r>
      <w:r>
        <w:t xml:space="preserve"> </w:t>
      </w:r>
      <w:r>
        <w:t xml:space="preserve">- Bring rep + AI verdicts into a weekly review digest</w:t>
      </w:r>
    </w:p>
    <w:p>
      <w:pPr>
        <w:pStyle w:val="BodyText"/>
      </w:pPr>
      <w:r>
        <w:t xml:space="preserve">Full reference:</w:t>
      </w:r>
      <w:r>
        <w:t xml:space="preserve"> </w:t>
      </w:r>
      <w:r>
        <w:rPr>
          <w:rStyle w:val="VerbatimChar"/>
        </w:rPr>
        <w:t xml:space="preserve">docs/NICO_FEEDBACK_SYNTHESIS.md</w:t>
      </w:r>
      <w:r>
        <w:t xml:space="preserve">.</w:t>
      </w:r>
    </w:p>
    <w:p>
      <w:r>
        <w:pict>
          <v:rect style="width:0;height:1.5pt" o:hralign="center" o:hrstd="t" o:hr="t"/>
        </w:pict>
      </w:r>
    </w:p>
    <w:bookmarkEnd w:id="14"/>
    <w:bookmarkStart w:id="15" w:name="what-this-layer-looks-like-elsewhere"/>
    <w:p>
      <w:pPr>
        <w:pStyle w:val="Heading2"/>
      </w:pPr>
      <w:r>
        <w:t xml:space="preserve">What this layer looks like elsewhere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Typical alternative</w:t>
            </w:r>
          </w:p>
        </w:tc>
        <w:tc>
          <w:tcPr/>
          <w:p>
            <w:pPr>
              <w:pStyle w:val="Compact"/>
            </w:pPr>
            <w:r>
              <w:t xml:space="preserve">Notes</w:t>
            </w:r>
          </w:p>
        </w:tc>
      </w:tr>
      <w:tr>
        <w:tc>
          <w:tcPr/>
          <w:p>
            <w:pPr>
              <w:pStyle w:val="Compact"/>
            </w:pPr>
            <w:r>
              <w:t xml:space="preserve">Universe-wide enrichment</w:t>
            </w:r>
          </w:p>
        </w:tc>
        <w:tc>
          <w:tcPr/>
          <w:p>
            <w:pPr>
              <w:pStyle w:val="Compact"/>
            </w:pPr>
            <w:r>
              <w:t xml:space="preserve">Apollo, ZoomInfo, Cognism, Crunchbase Pro</w:t>
            </w:r>
          </w:p>
        </w:tc>
        <w:tc>
          <w:tcPr/>
          <w:p>
            <w:pPr>
              <w:pStyle w:val="Compact"/>
            </w:pPr>
            <w:r>
              <w:t xml:space="preserve">Apollo’s public page lists plans up to $99/user/mo; ZoomInfo and Cognism are quote-only and routinely cited in the high-four-to-five-figure annual range. None of them carry CGT-specific signals like manufacturing scale or separation technology.</w:t>
            </w:r>
          </w:p>
        </w:tc>
      </w:tr>
      <w:tr>
        <w:tc>
          <w:tcPr/>
          <w:p>
            <w:pPr>
              <w:pStyle w:val="Compact"/>
            </w:pPr>
            <w:r>
              <w:t xml:space="preserve">Company deep research</w:t>
            </w:r>
          </w:p>
        </w:tc>
        <w:tc>
          <w:tcPr/>
          <w:p>
            <w:pPr>
              <w:pStyle w:val="Compact"/>
            </w:pPr>
            <w:r>
              <w:t xml:space="preserve">Clay (waterfall enrichment + AI)</w:t>
            </w:r>
          </w:p>
        </w:tc>
        <w:tc>
          <w:tcPr/>
          <w:p>
            <w:pPr>
              <w:pStyle w:val="Compact"/>
            </w:pPr>
            <w:r>
              <w:t xml:space="preserve">Clay publishes credit-based pricing — their</w:t>
            </w:r>
            <w:r>
              <w:t xml:space="preserve"> </w:t>
            </w:r>
            <w:r>
              <w:t xml:space="preserve">“Pro”</w:t>
            </w:r>
            <w:r>
              <w:t xml:space="preserve"> </w:t>
            </w:r>
            <w:r>
              <w:t xml:space="preserve">tier starts at $349/mo on the public pricing page; enterprise plans are quoted. Clay is used inside this engagement for the contact layer (see</w:t>
            </w:r>
            <w:r>
              <w:t xml:space="preserve"> </w:t>
            </w:r>
            <w:r>
              <w:rPr>
                <w:rStyle w:val="VerbatimChar"/>
              </w:rPr>
              <w:t xml:space="preserve">07_contact_enrichment_personas.md</w:t>
            </w:r>
            <w:r>
              <w:t xml:space="preserve">), not for the company-side deep dive.</w:t>
            </w:r>
          </w:p>
        </w:tc>
      </w:tr>
      <w:tr>
        <w:tc>
          <w:tcPr/>
          <w:p>
            <w:pPr>
              <w:pStyle w:val="Compact"/>
            </w:pPr>
            <w:r>
              <w:t xml:space="preserve">Domain-specific enrichment (CGT-aware)</w:t>
            </w:r>
          </w:p>
        </w:tc>
        <w:tc>
          <w:tcPr/>
          <w:p>
            <w:pPr>
              <w:pStyle w:val="Compact"/>
            </w:pPr>
            <w:r>
              <w:t xml:space="preserve">None at scale — would require a custom data team or specialist vendor</w:t>
            </w:r>
          </w:p>
        </w:tc>
        <w:tc>
          <w:tcPr/>
          <w:p>
            <w:pPr>
              <w:pStyle w:val="Compact"/>
            </w:pPr>
            <w:r>
              <w:t xml:space="preserve">Pharma intelligence platforms like GlobalData / Citeline carry trial and pipeline data; they’re typically annual subscriptions in the five-figure range.</w:t>
            </w:r>
          </w:p>
        </w:tc>
      </w:tr>
      <w:tr>
        <w:tc>
          <w:tcPr/>
          <w:p>
            <w:pPr>
              <w:pStyle w:val="Compact"/>
            </w:pPr>
            <w:r>
              <w:t xml:space="preserve">Site scraping</w:t>
            </w:r>
          </w:p>
        </w:tc>
        <w:tc>
          <w:tcPr/>
          <w:p>
            <w:pPr>
              <w:pStyle w:val="Compact"/>
            </w:pPr>
            <w:r>
              <w:t xml:space="preserve">Firecrawl (used), Apify, Bright Data</w:t>
            </w:r>
          </w:p>
        </w:tc>
        <w:tc>
          <w:tcPr/>
          <w:p>
            <w:pPr>
              <w:pStyle w:val="Compact"/>
            </w:pPr>
            <w:r>
              <w:t xml:space="preserve">Firecrawl is pay-per-credit, public pricing tiers from $0 free → enterprise quote.</w:t>
            </w:r>
          </w:p>
        </w:tc>
      </w:tr>
      <w:tr>
        <w:tc>
          <w:tcPr/>
          <w:p>
            <w:pPr>
              <w:pStyle w:val="Compact"/>
            </w:pPr>
            <w:r>
              <w:t xml:space="preserve">AI extraction</w:t>
            </w:r>
          </w:p>
        </w:tc>
        <w:tc>
          <w:tcPr/>
          <w:p>
            <w:pPr>
              <w:pStyle w:val="Compact"/>
            </w:pPr>
            <w:r>
              <w:t xml:space="preserve">Claude / GPT-4 / Gemini APIs</w:t>
            </w:r>
          </w:p>
        </w:tc>
        <w:tc>
          <w:tcPr/>
          <w:p>
            <w:pPr>
              <w:pStyle w:val="Compact"/>
            </w:pPr>
            <w:r>
              <w:t xml:space="preserve">Per-token; running enrichment at CARR’s universe scale is small relative to platform costs (cents per company, not dollars).</w:t>
            </w:r>
          </w:p>
        </w:tc>
      </w:tr>
    </w:tbl>
    <w:p>
      <w:pPr>
        <w:pStyle w:val="BodyText"/>
      </w:pPr>
      <w:r>
        <w:t xml:space="preserve">The CARR-specific reasoning (separation tech, manufacturing scale, equipment-buying signals) is the part that doesn’t exist off the shelf. That’s domain knowledge encoded into the prompts + the structured output schema.</w:t>
      </w:r>
    </w:p>
    <w:p>
      <w:r>
        <w:pict>
          <v:rect style="width:0;height:1.5pt" o:hralign="center" o:hrstd="t" o:hr="t"/>
        </w:pict>
      </w:r>
    </w:p>
    <w:bookmarkEnd w:id="15"/>
    <w:bookmarkStart w:id="16" w:name="cross-references"/>
    <w:p>
      <w:pPr>
        <w:pStyle w:val="Heading2"/>
      </w:pPr>
      <w:r>
        <w:t xml:space="preserve">Cross-references</w:t>
      </w:r>
    </w:p>
    <w:p>
      <w:pPr>
        <w:pStyle w:val="Compact"/>
        <w:numPr>
          <w:ilvl w:val="0"/>
          <w:numId w:val="1002"/>
        </w:numPr>
      </w:pPr>
      <w:r>
        <w:t xml:space="preserve">Enrichment runbook:</w:t>
      </w:r>
      <w:r>
        <w:t xml:space="preserve"> </w:t>
      </w:r>
      <w:r>
        <w:rPr>
          <w:rStyle w:val="VerbatimChar"/>
        </w:rPr>
        <w:t xml:space="preserve">skills/account_enrichment.md</w:t>
      </w:r>
    </w:p>
    <w:p>
      <w:pPr>
        <w:pStyle w:val="Compact"/>
        <w:numPr>
          <w:ilvl w:val="0"/>
          <w:numId w:val="1002"/>
        </w:numPr>
      </w:pPr>
      <w:r>
        <w:t xml:space="preserve">Hub-spoke enrichment rules:</w:t>
      </w:r>
      <w:r>
        <w:t xml:space="preserve"> </w:t>
      </w:r>
      <w:r>
        <w:rPr>
          <w:rStyle w:val="VerbatimChar"/>
        </w:rPr>
        <w:t xml:space="preserve">biocreativeaihub/departments/client-mgmt/launch/SPOKE_ENRICHMENT_PATTERN.md</w:t>
      </w:r>
    </w:p>
    <w:p>
      <w:pPr>
        <w:pStyle w:val="Compact"/>
        <w:numPr>
          <w:ilvl w:val="0"/>
          <w:numId w:val="1002"/>
        </w:numPr>
      </w:pPr>
      <w:r>
        <w:t xml:space="preserve">Account classification rules:</w:t>
      </w:r>
      <w:r>
        <w:t xml:space="preserve"> </w:t>
      </w:r>
      <w:r>
        <w:rPr>
          <w:rStyle w:val="VerbatimChar"/>
        </w:rPr>
        <w:t xml:space="preserve">context/icp/account_classification.md</w:t>
      </w:r>
    </w:p>
    <w:p>
      <w:pPr>
        <w:pStyle w:val="Compact"/>
        <w:numPr>
          <w:ilvl w:val="0"/>
          <w:numId w:val="1002"/>
        </w:numPr>
      </w:pPr>
      <w:r>
        <w:t xml:space="preserve">Rep validation pipeline:</w:t>
      </w:r>
      <w:r>
        <w:t xml:space="preserve"> </w:t>
      </w:r>
      <w:r>
        <w:rPr>
          <w:rStyle w:val="VerbatimChar"/>
        </w:rPr>
        <w:t xml:space="preserve">docs/NICO_FEEDBACK_SYNTHESIS.md</w:t>
      </w:r>
    </w:p>
    <w:p>
      <w:pPr>
        <w:pStyle w:val="Compact"/>
        <w:numPr>
          <w:ilvl w:val="0"/>
          <w:numId w:val="1002"/>
        </w:numPr>
      </w:pPr>
      <w:r>
        <w:t xml:space="preserve">ICP scoring model:</w:t>
      </w:r>
      <w:r>
        <w:t xml:space="preserve"> </w:t>
      </w:r>
      <w:r>
        <w:rPr>
          <w:rStyle w:val="VerbatimChar"/>
        </w:rPr>
        <w:t xml:space="preserve">context/icp/scoring_model.md</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Enrichment Pipeline</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