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Messaging System (SSO Matrix)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4" w:name="messaging-system-the-sso-matrix-engine"/>
    <w:p>
      <w:pPr>
        <w:pStyle w:val="Heading1"/>
      </w:pPr>
      <w:r>
        <w:t xml:space="preserve">08 — Messaging System (The SSO Matrix Engine)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7 min ·</w:t>
      </w:r>
      <w:r>
        <w:t xml:space="preserve"> </w:t>
      </w:r>
      <w:r>
        <w:rPr>
          <w:b/>
          <w:bCs/>
        </w:rPr>
        <w:t xml:space="preserve">Canonical reference:</w:t>
      </w:r>
      <w:r>
        <w:t xml:space="preserve"> </w:t>
      </w:r>
      <w:r>
        <w:rPr>
          <w:rStyle w:val="VerbatimChar"/>
        </w:rPr>
        <w:t xml:space="preserve">docs/SSO_MATRIX_DEEP_DIVE_2026-05-11.md</w:t>
      </w:r>
    </w:p>
    <w:p>
      <w:pPr>
        <w:pStyle w:val="FirstParagraph"/>
      </w:pPr>
      <w:r>
        <w:t xml:space="preserve">This is the engine. Everything above (universe, enrichment, personas, brand voice) feeds in. Every outreach message — LinkedIn connection, InMail, cold email, follow-up — comes out of this layer. It’s where the layered system either pays off or fails. As of May 11, it’s running v55 of the Edge Function with account-signals injection live.</w:t>
      </w:r>
    </w:p>
    <w:p>
      <w:r>
        <w:pict>
          <v:rect style="width:0;height:1.5pt" o:hralign="center" o:hrstd="t" o:hr="t"/>
        </w:pict>
      </w:r>
    </w:p>
    <w:bookmarkStart w:id="10" w:name="the-single-sales-objective-sso-matrix"/>
    <w:p>
      <w:pPr>
        <w:pStyle w:val="Heading2"/>
      </w:pPr>
      <w:r>
        <w:t xml:space="preserve">The Single Sales Objective (SSO) Matrix</w:t>
      </w:r>
    </w:p>
    <w:p>
      <w:pPr>
        <w:pStyle w:val="FirstParagraph"/>
      </w:pPr>
      <w:r>
        <w:rPr>
          <w:rStyle w:val="VerbatimChar"/>
        </w:rPr>
        <w:t xml:space="preserve">outreach_messaging_matrix</w:t>
      </w:r>
      <w:r>
        <w:t xml:space="preserve"> </w:t>
      </w:r>
      <w:r>
        <w:t xml:space="preserve">table —</w:t>
      </w:r>
      <w:r>
        <w:t xml:space="preserve"> </w:t>
      </w:r>
      <w:r>
        <w:rPr>
          <w:b/>
          <w:bCs/>
        </w:rPr>
        <w:t xml:space="preserve">38 active rows</w:t>
      </w:r>
      <w:r>
        <w:t xml:space="preserve"> </w:t>
      </w:r>
      <w:r>
        <w:t xml:space="preserve">mapping</w:t>
      </w:r>
      <w:r>
        <w:t xml:space="preserve"> </w:t>
      </w:r>
      <w:r>
        <w:rPr>
          <w:rStyle w:val="VerbatimChar"/>
        </w:rPr>
        <w:t xml:space="preserve">(icp_segment × buying_persona × optional cgt_focus)</w:t>
      </w:r>
      <w:r>
        <w:t xml:space="preserve"> </w:t>
      </w:r>
      <w:r>
        <w:t xml:space="preserve">to a messaging strategy.</w:t>
      </w:r>
    </w:p>
    <w:p>
      <w:pPr>
        <w:pStyle w:val="BodyText"/>
      </w:pPr>
      <w:r>
        <w:t xml:space="preserve">Each row contains: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pain_points</w:t>
      </w:r>
      <w:r>
        <w:t xml:space="preserve"> </w:t>
      </w:r>
      <w:r>
        <w:t xml:space="preserve">— 3–5 role-specific pain points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value_propositions</w:t>
      </w:r>
      <w:r>
        <w:t xml:space="preserve"> </w:t>
      </w:r>
      <w:r>
        <w:t xml:space="preserve">— 3–5 matched value props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messaging_angle</w:t>
      </w:r>
      <w:r>
        <w:t xml:space="preserve"> </w:t>
      </w:r>
      <w:r>
        <w:t xml:space="preserve">— the lens (e.g.,</w:t>
      </w:r>
      <w:r>
        <w:t xml:space="preserve"> </w:t>
      </w:r>
      <w:r>
        <w:rPr>
          <w:rStyle w:val="VerbatimChar"/>
        </w:rPr>
        <w:t xml:space="preserve">technical_expertise</w:t>
      </w:r>
      <w:r>
        <w:t xml:space="preserve">,</w:t>
      </w:r>
      <w:r>
        <w:t xml:space="preserve"> </w:t>
      </w:r>
      <w:r>
        <w:rPr>
          <w:rStyle w:val="VerbatimChar"/>
        </w:rPr>
        <w:t xml:space="preserve">scalable_processing</w:t>
      </w:r>
      <w:r>
        <w:t xml:space="preserve">,</w:t>
      </w:r>
      <w:r>
        <w:t xml:space="preserve"> </w:t>
      </w:r>
      <w:r>
        <w:rPr>
          <w:rStyle w:val="VerbatimChar"/>
        </w:rPr>
        <w:t xml:space="preserve">compliance_focus</w:t>
      </w:r>
      <w:r>
        <w:t xml:space="preserve">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hook_type</w:t>
      </w:r>
      <w:r>
        <w:t xml:space="preserve"> </w:t>
      </w:r>
      <w:r>
        <w:t xml:space="preserve">— opener pattern (e.g.,</w:t>
      </w:r>
      <w:r>
        <w:t xml:space="preserve"> </w:t>
      </w:r>
      <w:r>
        <w:rPr>
          <w:rStyle w:val="VerbatimChar"/>
        </w:rPr>
        <w:t xml:space="preserve">pain_acknowledgment</w:t>
      </w:r>
      <w:r>
        <w:t xml:space="preserve">,</w:t>
      </w:r>
      <w:r>
        <w:t xml:space="preserve"> </w:t>
      </w:r>
      <w:r>
        <w:rPr>
          <w:rStyle w:val="VerbatimChar"/>
        </w:rPr>
        <w:t xml:space="preserve">industry_signal</w:t>
      </w:r>
      <w:r>
        <w:t xml:space="preserve">,</w:t>
      </w:r>
      <w:r>
        <w:t xml:space="preserve"> </w:t>
      </w:r>
      <w:r>
        <w:rPr>
          <w:rStyle w:val="VerbatimChar"/>
        </w:rPr>
        <w:t xml:space="preserve">peer_reference</w:t>
      </w:r>
      <w:r>
        <w:t xml:space="preserve">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cta_options</w:t>
      </w:r>
      <w:r>
        <w:t xml:space="preserve"> </w:t>
      </w:r>
      <w:r>
        <w:t xml:space="preserve">— 2–3 call-to-action variants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subject_line_templates</w:t>
      </w:r>
      <w:r>
        <w:t xml:space="preserve"> </w:t>
      </w:r>
      <w:r>
        <w:t xml:space="preserve">— for email types</w:t>
      </w:r>
    </w:p>
    <w:bookmarkStart w:id="9" w:name="X80ad6df05edc3c1c8fe1d4306eca156e541fbdb"/>
    <w:p>
      <w:pPr>
        <w:pStyle w:val="Heading3"/>
      </w:pPr>
      <w:r>
        <w:t xml:space="preserve">Coverage by segment × persona (from May 11 audit)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icp_segment</w:t>
            </w:r>
          </w:p>
        </w:tc>
        <w:tc>
          <w:tcPr/>
          <w:p>
            <w:pPr>
              <w:pStyle w:val="Compact"/>
            </w:pPr>
            <w:r>
              <w:t xml:space="preserve">EXEC</w:t>
            </w:r>
          </w:p>
        </w:tc>
        <w:tc>
          <w:tcPr/>
          <w:p>
            <w:pPr>
              <w:pStyle w:val="Compact"/>
            </w:pPr>
            <w:r>
              <w:t xml:space="preserve">TECH</w:t>
            </w:r>
          </w:p>
        </w:tc>
        <w:tc>
          <w:tcPr/>
          <w:p>
            <w:pPr>
              <w:pStyle w:val="Compact"/>
            </w:pPr>
            <w:r>
              <w:t xml:space="preserve">OPS</w:t>
            </w:r>
          </w:p>
        </w:tc>
        <w:tc>
          <w:tcPr/>
          <w:p>
            <w:pPr>
              <w:pStyle w:val="Compact"/>
            </w:pPr>
            <w:r>
              <w:t xml:space="preserve">QA/REG</w:t>
            </w:r>
          </w:p>
        </w:tc>
        <w:tc>
          <w:tcPr/>
          <w:p>
            <w:pPr>
              <w:pStyle w:val="Compact"/>
            </w:pPr>
            <w:r>
              <w:t xml:space="preserve">RESEARCH</w:t>
            </w:r>
          </w:p>
        </w:tc>
        <w:tc>
          <w:tcPr/>
          <w:p>
            <w:pPr>
              <w:pStyle w:val="Compact"/>
            </w:pPr>
            <w:r>
              <w:t xml:space="preserve">CLINICAL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therapeutic_developer</w:t>
            </w:r>
          </w:p>
        </w:tc>
        <w:tc>
          <w:tcPr/>
          <w:p>
            <w:pPr>
              <w:pStyle w:val="Compact"/>
            </w:pPr>
            <w:r>
              <w:t xml:space="preserve">7 (cgt)</w:t>
            </w:r>
          </w:p>
        </w:tc>
        <w:tc>
          <w:tcPr/>
          <w:p>
            <w:pPr>
              <w:pStyle w:val="Compact"/>
            </w:pPr>
            <w:r>
              <w:t xml:space="preserve">7 (cgt)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3 (cgt)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2 (cgt)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cdmo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academic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service_provider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default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Therapeutic Developer × the 6 personas is the densest (since it’s CARR’s primary ICP and has CGT-modality-specific rows). Gaps in CDMO × Research/Clinical and Service Provider × OPS/QA/RESEARCH/CLINICAL fall through to the</w:t>
      </w:r>
      <w:r>
        <w:t xml:space="preserve"> </w:t>
      </w:r>
      <w:r>
        <w:rPr>
          <w:rStyle w:val="VerbatimChar"/>
        </w:rPr>
        <w:t xml:space="preserve">default</w:t>
      </w:r>
      <w:r>
        <w:t xml:space="preserve"> </w:t>
      </w:r>
      <w:r>
        <w:t xml:space="preserve">row and then to</w:t>
      </w:r>
      <w:r>
        <w:t xml:space="preserve"> </w:t>
      </w:r>
      <w:r>
        <w:rPr>
          <w:rStyle w:val="VerbatimChar"/>
        </w:rPr>
        <w:t xml:space="preserve">icp_groups</w:t>
      </w:r>
      <w:r>
        <w:t xml:space="preserve"> </w:t>
      </w:r>
      <w:r>
        <w:t xml:space="preserve">lead-ins.</w: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1" w:name="the-3-tier-resolution-chain"/>
    <w:p>
      <w:pPr>
        <w:pStyle w:val="Heading2"/>
      </w:pPr>
      <w:r>
        <w:t xml:space="preserve">The 3-tier resolution chain</w:t>
      </w:r>
    </w:p>
    <w:p>
      <w:pPr>
        <w:pStyle w:val="FirstParagraph"/>
      </w:pPr>
      <w:r>
        <w:t xml:space="preserve">When a message is generated, the system tries three tiers in order:</w:t>
      </w:r>
    </w:p>
    <w:p>
      <w:pPr>
        <w:pStyle w:val="SourceCode"/>
      </w:pPr>
      <w:r>
        <w:rPr>
          <w:rStyle w:val="VerbatimChar"/>
        </w:rPr>
        <w:t xml:space="preserve">Tier 1 — Matrix lookup (resolve_messaging_strategy RPC)</w:t>
      </w:r>
      <w:r>
        <w:br/>
      </w:r>
      <w:r>
        <w:rPr>
          <w:rStyle w:val="VerbatimChar"/>
        </w:rPr>
        <w:t xml:space="preserve">   Looks up (icp_segment, marketing_persona, optional CGT match)</w:t>
      </w:r>
      <w:r>
        <w:br/>
      </w:r>
      <w:r>
        <w:rPr>
          <w:rStyle w:val="VerbatimChar"/>
        </w:rPr>
        <w:t xml:space="preserve">   If found → uses pain points, value props, angle from the row</w:t>
      </w:r>
      <w:r>
        <w:br/>
      </w:r>
      <w:r>
        <w:rPr>
          <w:rStyle w:val="VerbatimChar"/>
        </w:rPr>
        <w:t xml:space="preserve">   Reports: metadata.messagingSource = "db_matrix" or "db_matrix_cgt"</w:t>
      </w:r>
      <w:r>
        <w:br/>
      </w:r>
      <w:r>
        <w:br/>
      </w:r>
      <w:r>
        <w:rPr>
          <w:rStyle w:val="VerbatimChar"/>
        </w:rPr>
        <w:t xml:space="preserve">Tier 2 — icp_groups lead-in (fallback)</w:t>
      </w:r>
      <w:r>
        <w:br/>
      </w:r>
      <w:r>
        <w:rPr>
          <w:rStyle w:val="VerbatimChar"/>
        </w:rPr>
        <w:t xml:space="preserve">   When matrix has no row → looks up positioning.icp_groups[carr_icp_group]</w:t>
      </w:r>
      <w:r>
        <w:br/>
      </w:r>
      <w:r>
        <w:rPr>
          <w:rStyle w:val="VerbatimChar"/>
        </w:rPr>
        <w:t xml:space="preserve">   e.g., td_allogeneic → injects allogeneic-specific lead-in phrasing</w:t>
      </w:r>
      <w:r>
        <w:br/>
      </w:r>
      <w:r>
        <w:rPr>
          <w:rStyle w:val="VerbatimChar"/>
        </w:rPr>
        <w:t xml:space="preserve">   Reports: metadata.messagingSource = "icp_groups_fallback"</w:t>
      </w:r>
      <w:r>
        <w:br/>
      </w:r>
      <w:r>
        <w:br/>
      </w:r>
      <w:r>
        <w:rPr>
          <w:rStyle w:val="VerbatimChar"/>
        </w:rPr>
        <w:t xml:space="preserve">Tier 3 — Role fallback (last resort)</w:t>
      </w:r>
      <w:r>
        <w:br/>
      </w:r>
      <w:r>
        <w:rPr>
          <w:rStyle w:val="VerbatimChar"/>
        </w:rPr>
        <w:t xml:space="preserve">   When neither matrix nor icp_groups match → DEFAULT_ROLE_MESSAGING</w:t>
      </w:r>
      <w:r>
        <w:br/>
      </w:r>
      <w:r>
        <w:rPr>
          <w:rStyle w:val="VerbatimChar"/>
        </w:rPr>
        <w:t xml:space="preserve">   Each persona has hardcoded baseline pain/value props</w:t>
      </w:r>
      <w:r>
        <w:br/>
      </w:r>
      <w:r>
        <w:rPr>
          <w:rStyle w:val="VerbatimChar"/>
        </w:rPr>
        <w:t xml:space="preserve">   Reports: metadata.messagingSource = "role_fallback"</w:t>
      </w:r>
    </w:p>
    <w:p>
      <w:pPr>
        <w:pStyle w:val="FirstParagraph"/>
      </w:pPr>
      <w:r>
        <w:t xml:space="preserve">This is the difference between</w:t>
      </w:r>
      <w:r>
        <w:t xml:space="preserve"> </w:t>
      </w:r>
      <w:r>
        <w:rPr>
          <w:i/>
          <w:iCs/>
        </w:rPr>
        <w:t xml:space="preserve">personalized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just-LLM-generated</w:t>
      </w:r>
      <w:r>
        <w:t xml:space="preserve">. Without the matrix, every message is whatever the LLM hallucinates about CGT + the recipient’s role. With it, every message has CARR-vetted pain points and value props as the spine.</w:t>
      </w:r>
    </w:p>
    <w:p>
      <w:r>
        <w:pict>
          <v:rect style="width:0;height:1.5pt" o:hralign="center" o:hrstd="t" o:hr="t"/>
        </w:pict>
      </w:r>
    </w:p>
    <w:bookmarkEnd w:id="11"/>
    <w:bookmarkStart w:id="14" w:name="message-types-2-variants"/>
    <w:p>
      <w:pPr>
        <w:pStyle w:val="Heading2"/>
      </w:pPr>
      <w:r>
        <w:t xml:space="preserve">5 message types, 2 variants</w:t>
      </w:r>
    </w:p>
    <w:bookmarkStart w:id="12" w:name="types"/>
    <w:p>
      <w:pPr>
        <w:pStyle w:val="Heading3"/>
      </w:pPr>
      <w:r>
        <w:t xml:space="preserve">Types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Char limit</w:t>
            </w:r>
          </w:p>
        </w:tc>
        <w:tc>
          <w:tcPr/>
          <w:p>
            <w:pPr>
              <w:pStyle w:val="Compact"/>
            </w:pPr>
            <w:r>
              <w:t xml:space="preserve">Use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linkedin_connection</w:t>
            </w:r>
          </w:p>
        </w:tc>
        <w:tc>
          <w:tcPr/>
          <w:p>
            <w:pPr>
              <w:pStyle w:val="Compact"/>
            </w:pPr>
            <w:r>
              <w:t xml:space="preserve">LinkedIn</w:t>
            </w:r>
          </w:p>
        </w:tc>
        <w:tc>
          <w:tcPr/>
          <w:p>
            <w:pPr>
              <w:pStyle w:val="Compact"/>
            </w:pPr>
            <w:r>
              <w:t xml:space="preserve">300</w:t>
            </w:r>
          </w:p>
        </w:tc>
        <w:tc>
          <w:tcPr/>
          <w:p>
            <w:pPr>
              <w:pStyle w:val="Compact"/>
            </w:pPr>
            <w:r>
              <w:t xml:space="preserve">Initial connection request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linkedin_connection_followup</w:t>
            </w:r>
          </w:p>
        </w:tc>
        <w:tc>
          <w:tcPr/>
          <w:p>
            <w:pPr>
              <w:pStyle w:val="Compact"/>
            </w:pPr>
            <w:r>
              <w:t xml:space="preserve">LinkedIn</w:t>
            </w:r>
          </w:p>
        </w:tc>
        <w:tc>
          <w:tcPr/>
          <w:p>
            <w:pPr>
              <w:pStyle w:val="Compact"/>
            </w:pPr>
            <w:r>
              <w:t xml:space="preserve">900 (hard cap)</w:t>
            </w:r>
          </w:p>
        </w:tc>
        <w:tc>
          <w:tcPr/>
          <w:p>
            <w:pPr>
              <w:pStyle w:val="Compact"/>
            </w:pPr>
            <w:r>
              <w:t xml:space="preserve">After connection accepted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linkedin_inmail</w:t>
            </w:r>
          </w:p>
        </w:tc>
        <w:tc>
          <w:tcPr/>
          <w:p>
            <w:pPr>
              <w:pStyle w:val="Compact"/>
            </w:pPr>
            <w:r>
              <w:t xml:space="preserve">LinkedIn</w:t>
            </w:r>
          </w:p>
        </w:tc>
        <w:tc>
          <w:tcPr/>
          <w:p>
            <w:pPr>
              <w:pStyle w:val="Compact"/>
            </w:pPr>
            <w:r>
              <w:t xml:space="preserve">1,900</w:t>
            </w:r>
          </w:p>
        </w:tc>
        <w:tc>
          <w:tcPr/>
          <w:p>
            <w:pPr>
              <w:pStyle w:val="Compact"/>
            </w:pPr>
            <w:r>
              <w:t xml:space="preserve">InMail to non-connections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email_cold</w:t>
            </w:r>
          </w:p>
        </w:tc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t xml:space="preserve">600</w:t>
            </w:r>
          </w:p>
        </w:tc>
        <w:tc>
          <w:tcPr/>
          <w:p>
            <w:pPr>
              <w:pStyle w:val="Compact"/>
            </w:pPr>
            <w:r>
              <w:t xml:space="preserve">First cold email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email_followup</w:t>
            </w:r>
          </w:p>
        </w:tc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t xml:space="preserve">400</w:t>
            </w:r>
          </w:p>
        </w:tc>
        <w:tc>
          <w:tcPr/>
          <w:p>
            <w:pPr>
              <w:pStyle w:val="Compact"/>
            </w:pPr>
            <w:r>
              <w:t xml:space="preserve">Follow-up sequence step</w:t>
            </w:r>
          </w:p>
        </w:tc>
      </w:tr>
    </w:tbl>
    <w:bookmarkEnd w:id="12"/>
    <w:bookmarkStart w:id="13" w:name="variants-ab"/>
    <w:p>
      <w:pPr>
        <w:pStyle w:val="Heading3"/>
      </w:pPr>
      <w:r>
        <w:t xml:space="preserve">Variants (A/B)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Variant</w:t>
            </w:r>
          </w:p>
        </w:tc>
        <w:tc>
          <w:tcPr/>
          <w:p>
            <w:pPr>
              <w:pStyle w:val="Compact"/>
            </w:pPr>
            <w:r>
              <w:t xml:space="preserve">Approach</w:t>
            </w:r>
          </w:p>
        </w:tc>
        <w:tc>
          <w:tcPr/>
          <w:p>
            <w:pPr>
              <w:pStyle w:val="Compac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traditional</w:t>
            </w:r>
          </w:p>
        </w:tc>
        <w:tc>
          <w:tcPr/>
          <w:p>
            <w:pPr>
              <w:pStyle w:val="Compact"/>
            </w:pPr>
            <w:r>
              <w:t xml:space="preserve">Direct value proposition — CARR’s equipment solves your manufacturing challenge</w:t>
            </w:r>
          </w:p>
        </w:tc>
        <w:tc>
          <w:tcPr/>
          <w:p>
            <w:pPr>
              <w:pStyle w:val="Compact"/>
            </w:pPr>
            <w:r>
              <w:t xml:space="preserve">Default. Most cold contexts.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path_to_patients</w:t>
            </w:r>
          </w:p>
        </w:tc>
        <w:tc>
          <w:tcPr/>
          <w:p>
            <w:pPr>
              <w:pStyle w:val="Compact"/>
            </w:pPr>
            <w:r>
              <w:t xml:space="preserve">Mission-aligned — accelerating your path to getting therapies to patients</w:t>
            </w:r>
          </w:p>
        </w:tc>
        <w:tc>
          <w:tcPr/>
          <w:p>
            <w:pPr>
              <w:pStyle w:val="Compact"/>
            </w:pPr>
            <w:r>
              <w:t xml:space="preserve">When connecting to a research- or mission-driven audience. Aligns with CARR’s P2P program (rentals, buyback, partnership framing).</w:t>
            </w:r>
          </w:p>
        </w:tc>
      </w:tr>
    </w:tbl>
    <w:p>
      <w:pPr>
        <w:pStyle w:val="BlockText"/>
      </w:pPr>
      <w:r>
        <w:t xml:space="preserve">Status:</w:t>
      </w:r>
      <w:r>
        <w:t xml:space="preserve"> </w:t>
      </w:r>
      <w:r>
        <w:rPr>
          <w:rStyle w:val="VerbatimChar"/>
        </w:rPr>
        <w:t xml:space="preserve">path_to_patients</w:t>
      </w:r>
      <w:r>
        <w:t xml:space="preserve"> </w:t>
      </w:r>
      <w:r>
        <w:t xml:space="preserve">is wired in v55 of the EF but has</w:t>
      </w:r>
      <w:r>
        <w:t xml:space="preserve"> </w:t>
      </w:r>
      <w:r>
        <w:rPr>
          <w:b/>
          <w:bCs/>
        </w:rPr>
        <w:t xml:space="preserve">no UX control yet in the CARR app</w:t>
      </w:r>
      <w:r>
        <w:t xml:space="preserve"> </w:t>
      </w:r>
      <w:r>
        <w:t xml:space="preserve">to toggle per-send. It can be invoked via the batch generator or API call; not yet exposed in the modal. This is one of the few wired-but-not-surfaced items.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X0d1899add2d288aeea13e45918d295a5cc460bb"/>
    <w:p>
      <w:pPr>
        <w:pStyle w:val="Heading2"/>
      </w:pPr>
      <w:r>
        <w:t xml:space="preserve">What flows into the prompt (the 11 sections)</w:t>
      </w:r>
    </w:p>
    <w:p>
      <w:pPr>
        <w:pStyle w:val="FirstParagraph"/>
      </w:pPr>
      <w:r>
        <w:t xml:space="preserve">From</w:t>
      </w:r>
      <w:r>
        <w:t xml:space="preserve"> </w:t>
      </w:r>
      <w:r>
        <w:rPr>
          <w:rStyle w:val="VerbatimChar"/>
        </w:rPr>
        <w:t xml:space="preserve">docs/SSO_MATRIX_DEEP_DIVE_2026-05-11.md</w:t>
      </w:r>
      <w:r>
        <w:t xml:space="preserve"> </w:t>
      </w:r>
      <w:r>
        <w:t xml:space="preserve">§4, order matters: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Sender identity</w:t>
      </w:r>
      <w:r>
        <w:t xml:space="preserve"> </w:t>
      </w:r>
      <w:r>
        <w:t xml:space="preserve">— from</w:t>
      </w:r>
      <w:r>
        <w:t xml:space="preserve"> </w:t>
      </w:r>
      <w:r>
        <w:rPr>
          <w:rStyle w:val="VerbatimChar"/>
        </w:rPr>
        <w:t xml:space="preserve">team_profiles</w:t>
      </w:r>
      <w:r>
        <w:t xml:space="preserve"> </w:t>
      </w:r>
      <w:r>
        <w:t xml:space="preserve">(display name, headline, about, writing_rules, persona_summary voice)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Target contact</w:t>
      </w:r>
      <w:r>
        <w:t xml:space="preserve"> </w:t>
      </w:r>
      <w:r>
        <w:t xml:space="preserve">— name, title, seniority, department, persona, location, Clay summary/headline/experience, L2 segment_data, engagement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Account positioning context</w:t>
      </w:r>
      <w:r>
        <w:t xml:space="preserve"> </w:t>
      </w:r>
      <w:r>
        <w:t xml:space="preserve">— keyed off</w:t>
      </w:r>
      <w:r>
        <w:t xml:space="preserve"> </w:t>
      </w:r>
      <w:r>
        <w:rPr>
          <w:rStyle w:val="VerbatimChar"/>
        </w:rPr>
        <w:t xml:space="preserve">carr_icp_group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icp_groups[mapped_key]</w:t>
      </w:r>
      <w:r>
        <w:t xml:space="preserve"> </w:t>
      </w:r>
      <w:r>
        <w:t xml:space="preserve">+ product fit line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company</w:t>
      </w:r>
      <w:r>
        <w:t xml:space="preserve"> </w:t>
      </w:r>
      <w:r>
        <w:t xml:space="preserve">— name, modality, dev stage, country/state, description (truncated 600 char), CARR account enrichment (centrifugation fit, scale, separation tech), competitive line if separation tech matches a known competitor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Messaging Strategy (3-tier)</w:t>
      </w:r>
      <w:r>
        <w:t xml:space="preserve"> </w:t>
      </w:r>
      <w:r>
        <w:t xml:space="preserve">— matrix angle + pain points + value props + suggested hook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Messaging Variant</w:t>
      </w:r>
      <w:r>
        <w:t xml:space="preserve"> </w:t>
      </w:r>
      <w:r>
        <w:t xml:space="preserve">— P2P block when applicable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Relevant Value Pillars (VPC)</w:t>
      </w:r>
      <w:r>
        <w:t xml:space="preserve"> </w:t>
      </w:r>
      <w:r>
        <w:t xml:space="preserve">— 1–2 pillars matched to the role angle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Recent Account Signals (v55)</w:t>
      </w:r>
      <w:r>
        <w:t xml:space="preserve"> </w:t>
      </w:r>
      <w:r>
        <w:t xml:space="preserve">— funding summary + ≤2 news + ≤2 trials + ≤1 grant, capped 1,200 chars,</w:t>
      </w:r>
      <w:r>
        <w:t xml:space="preserve"> </w:t>
      </w:r>
      <w:r>
        <w:t xml:space="preserve">“use AT MOST ONE”</w:t>
      </w:r>
      <w:r>
        <w:t xml:space="preserve"> </w:t>
      </w:r>
      <w:r>
        <w:t xml:space="preserve">instruction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Custom Context</w:t>
      </w:r>
      <w:r>
        <w:t xml:space="preserve"> </w:t>
      </w:r>
      <w:r>
        <w:t xml:space="preserve">— operator free-text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Message Instructions</w:t>
      </w:r>
      <w:r>
        <w:t xml:space="preserve"> </w:t>
      </w:r>
      <w:r>
        <w:t xml:space="preserve">— type, max chars, tone, goal, length rules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Products / Tone rules / Banned phrases / Preferred vocabulary</w:t>
      </w:r>
    </w:p>
    <w:p>
      <w:pPr>
        <w:pStyle w:val="FirstParagraph"/>
      </w:pPr>
      <w:r>
        <w:t xml:space="preserve">This 11-section assembly is why the messages don’t read like generic LLM output — every section is CARR-specific and CARR-supplied.</w:t>
      </w:r>
    </w:p>
    <w:p>
      <w:r>
        <w:pict>
          <v:rect style="width:0;height:1.5pt" o:hralign="center" o:hrstd="t" o:hr="t"/>
        </w:pict>
      </w:r>
    </w:p>
    <w:bookmarkEnd w:id="15"/>
    <w:bookmarkStart w:id="16" w:name="X1fca5ba2a43c3fdd52eaa2bb3580d32cc98310b"/>
    <w:p>
      <w:pPr>
        <w:pStyle w:val="Heading2"/>
      </w:pPr>
      <w:r>
        <w:t xml:space="preserve">The 3 generation surfaces (all use identical logic)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Surface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t xml:space="preserve">What runs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generate-outreach-message</w:t>
            </w:r>
            <w:r>
              <w:t xml:space="preserve"> </w:t>
            </w:r>
            <w:r>
              <w:t xml:space="preserve">EF v55</w:t>
            </w:r>
          </w:p>
        </w:tc>
        <w:tc>
          <w:tcPr/>
          <w:p>
            <w:pPr>
              <w:pStyle w:val="Compact"/>
            </w:pPr>
            <w:r>
              <w:t xml:space="preserve">Single message from UI / batch caller</w:t>
            </w:r>
          </w:p>
        </w:tc>
        <w:tc>
          <w:tcPr/>
          <w:p>
            <w:pPr>
              <w:pStyle w:val="Compact"/>
            </w:pPr>
            <w:r>
              <w:t xml:space="preserve">Full 11-section prompt → Claude Sonnet 4 (→ gpt-4o-mini fallback) → drafts persisted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batch-generate-outreach</w:t>
            </w:r>
            <w:r>
              <w:t xml:space="preserve"> </w:t>
            </w:r>
            <w:r>
              <w:t xml:space="preserve">EF v51</w:t>
            </w:r>
          </w:p>
        </w:tc>
        <w:tc>
          <w:tcPr/>
          <w:p>
            <w:pPr>
              <w:pStyle w:val="Compact"/>
            </w:pPr>
            <w:r>
              <w:t xml:space="preserve">Bulk from</w:t>
            </w:r>
            <w:r>
              <w:t xml:space="preserve"> </w:t>
            </w:r>
            <w:r>
              <w:rPr>
                <w:rStyle w:val="VerbatimChar"/>
              </w:rPr>
              <w:t xml:space="preserve">v_campaign_contact_segments</w:t>
            </w:r>
          </w:p>
        </w:tc>
        <w:tc>
          <w:tcPr/>
          <w:p>
            <w:pPr>
              <w:pStyle w:val="Compact"/>
            </w:pPr>
            <w:r>
              <w:t xml:space="preserve">Same prompt, batched up to 50 contacts per run, per-batch cache for shared company 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run_batch_outreach_generation.py</w:t>
            </w:r>
            <w:r>
              <w:t xml:space="preserve"> </w:t>
            </w:r>
            <w:r>
              <w:t xml:space="preserve">(VPS)</w:t>
            </w:r>
          </w:p>
        </w:tc>
        <w:tc>
          <w:tcPr/>
          <w:p>
            <w:pPr>
              <w:pStyle w:val="Compact"/>
            </w:pPr>
            <w:r>
              <w:t xml:space="preserve">Drains</w:t>
            </w:r>
            <w:r>
              <w:t xml:space="preserve"> </w:t>
            </w:r>
            <w:r>
              <w:rPr>
                <w:rStyle w:val="VerbatimChar"/>
              </w:rPr>
              <w:t xml:space="preserve">v_evergreen_outreach_generation_queue</w:t>
            </w:r>
          </w:p>
        </w:tc>
        <w:tc>
          <w:tcPr/>
          <w:p>
            <w:pPr>
              <w:pStyle w:val="Compact"/>
            </w:pPr>
            <w:r>
              <w:t xml:space="preserve">Calls the single EF per row — inherits all features</w:t>
            </w:r>
          </w:p>
        </w:tc>
      </w:tr>
    </w:tbl>
    <w:p>
      <w:pPr>
        <w:pStyle w:val="BodyText"/>
      </w:pPr>
      <w:r>
        <w:t xml:space="preserve">All three share the same</w:t>
      </w:r>
      <w:r>
        <w:t xml:space="preserve"> </w:t>
      </w:r>
      <w:r>
        <w:rPr>
          <w:rStyle w:val="VerbatimChar"/>
        </w:rPr>
        <w:t xml:space="preserve">buildPrompt</w:t>
      </w:r>
      <w:r>
        <w:t xml:space="preserve">,</w:t>
      </w:r>
      <w:r>
        <w:t xml:space="preserve"> </w:t>
      </w:r>
      <w:r>
        <w:rPr>
          <w:rStyle w:val="VerbatimChar"/>
        </w:rPr>
        <w:t xml:space="preserve">loadAccountSignals</w:t>
      </w:r>
      <w:r>
        <w:t xml:space="preserve">,</w:t>
      </w:r>
      <w:r>
        <w:t xml:space="preserve"> </w:t>
      </w:r>
      <w:r>
        <w:rPr>
          <w:rStyle w:val="VerbatimChar"/>
        </w:rPr>
        <w:t xml:space="preserve">formatAccountSignalsBlock</w:t>
      </w:r>
      <w:r>
        <w:t xml:space="preserve">,</w:t>
      </w:r>
      <w:r>
        <w:t xml:space="preserve"> </w:t>
      </w:r>
      <w:r>
        <w:rPr>
          <w:rStyle w:val="VerbatimChar"/>
        </w:rPr>
        <w:t xml:space="preserve">resolveMessagingStrategy</w:t>
      </w:r>
      <w:r>
        <w:t xml:space="preserve">,</w:t>
      </w:r>
      <w:r>
        <w:t xml:space="preserve"> </w:t>
      </w:r>
      <w:r>
        <w:rPr>
          <w:rStyle w:val="VerbatimChar"/>
        </w:rPr>
        <w:t xml:space="preserve">deriveMarketingPersona</w:t>
      </w:r>
      <w:r>
        <w:t xml:space="preserve">. There is no prompt drift across surfaces.</w:t>
      </w:r>
    </w:p>
    <w:p>
      <w:r>
        <w:pict>
          <v:rect style="width:0;height:1.5pt" o:hralign="center" o:hrstd="t" o:hr="t"/>
        </w:pict>
      </w:r>
    </w:p>
    <w:bookmarkEnd w:id="16"/>
    <w:bookmarkStart w:id="17" w:name="X5ea57d675861cdc09027afc59745b9eb4787a96"/>
    <w:p>
      <w:pPr>
        <w:pStyle w:val="Heading2"/>
      </w:pPr>
      <w:r>
        <w:t xml:space="preserve">The writing-rules guardrail (Nico-specific, generalizable)</w:t>
      </w:r>
    </w:p>
    <w:p>
      <w:pPr>
        <w:pStyle w:val="FirstParagraph"/>
      </w:pPr>
      <w:r>
        <w:t xml:space="preserve">Added in Track 0 of the May buildout. Per-rep, persistable:</w:t>
      </w:r>
    </w:p>
    <w:p>
      <w:pPr>
        <w:pStyle w:val="SourceCode"/>
      </w:pPr>
      <w:r>
        <w:rPr>
          <w:rStyle w:val="VerbatimChar"/>
        </w:rPr>
        <w:t xml:space="preserve">team_profiles</w:t>
      </w:r>
      <w:r>
        <w:br/>
      </w:r>
      <w:r>
        <w:rPr>
          <w:rStyle w:val="VerbatimChar"/>
        </w:rPr>
        <w:t xml:space="preserve">  ├── writing_guidelines (TEXT)      — soft style preferences</w:t>
      </w:r>
      <w:r>
        <w:br/>
      </w:r>
      <w:r>
        <w:rPr>
          <w:rStyle w:val="VerbatimChar"/>
        </w:rPr>
        <w:t xml:space="preserve">  ├── required_phrases (TEXT[])      — must include</w:t>
      </w:r>
      <w:r>
        <w:br/>
      </w:r>
      <w:r>
        <w:rPr>
          <w:rStyle w:val="VerbatimChar"/>
        </w:rPr>
        <w:t xml:space="preserve">  └── banned_phrases (TEXT[])        — must NOT include</w:t>
      </w:r>
    </w:p>
    <w:p>
      <w:pPr>
        <w:pStyle w:val="FirstParagraph"/>
      </w:pPr>
      <w:r>
        <w:t xml:space="preserve">At generation time the EF:</w:t>
      </w:r>
      <w:r>
        <w:t xml:space="preserve"> </w:t>
      </w:r>
      <w:r>
        <w:t xml:space="preserve">1. Pulls the sender’s writing rules from</w:t>
      </w:r>
      <w:r>
        <w:t xml:space="preserve"> </w:t>
      </w:r>
      <w:r>
        <w:rPr>
          <w:rStyle w:val="VerbatimChar"/>
        </w:rPr>
        <w:t xml:space="preserve">team_profiles</w:t>
      </w:r>
      <w:r>
        <w:t xml:space="preserve"> </w:t>
      </w:r>
      <w:r>
        <w:t xml:space="preserve">2. Injects them into the prompt</w:t>
      </w:r>
      <w:r>
        <w:t xml:space="preserve"> </w:t>
      </w:r>
      <w:r>
        <w:t xml:space="preserve">3. After generation, runs</w:t>
      </w:r>
      <w:r>
        <w:t xml:space="preserve"> </w:t>
      </w:r>
      <w:r>
        <w:rPr>
          <w:rStyle w:val="VerbatimChar"/>
        </w:rPr>
        <w:t xml:space="preserve">checkWritingRuleViolations()</w:t>
      </w:r>
      <w:r>
        <w:t xml:space="preserve"> </w:t>
      </w:r>
      <w:r>
        <w:t xml:space="preserve">against the output</w:t>
      </w:r>
      <w:r>
        <w:t xml:space="preserve"> </w:t>
      </w:r>
      <w:r>
        <w:t xml:space="preserve">4. Logs violations to</w:t>
      </w:r>
      <w:r>
        <w:t xml:space="preserve"> </w:t>
      </w:r>
      <w:r>
        <w:rPr>
          <w:rStyle w:val="VerbatimChar"/>
        </w:rPr>
        <w:t xml:space="preserve">generation_metadata.writingRulesApplied = true</w:t>
      </w:r>
      <w:r>
        <w:t xml:space="preserve"> </w:t>
      </w:r>
      <w:r>
        <w:t xml:space="preserve">and the specific failing phrases</w:t>
      </w:r>
    </w:p>
    <w:p>
      <w:pPr>
        <w:pStyle w:val="BodyText"/>
      </w:pPr>
      <w:r>
        <w:t xml:space="preserve">This is how Nico’s feedback gets enforced at scale (per his templates parsed in</w:t>
      </w:r>
      <w:r>
        <w:t xml:space="preserve"> </w:t>
      </w:r>
      <w:r>
        <w:rPr>
          <w:rStyle w:val="VerbatimChar"/>
        </w:rPr>
        <w:t xml:space="preserve">Inputs/nico_templates_parsed.txt</w:t>
      </w:r>
      <w:r>
        <w:t xml:space="preserve">). Currently only Nico’s row is populated; the column exists for all 9 senders so the pattern is uniform.</w:t>
      </w:r>
    </w:p>
    <w:p>
      <w:r>
        <w:pict>
          <v:rect style="width:0;height:1.5pt" o:hralign="center" o:hrstd="t" o:hr="t"/>
        </w:pict>
      </w:r>
    </w:p>
    <w:bookmarkEnd w:id="17"/>
    <w:bookmarkStart w:id="18" w:name="dnc-compliance"/>
    <w:p>
      <w:pPr>
        <w:pStyle w:val="Heading2"/>
      </w:pPr>
      <w:r>
        <w:t xml:space="preserve">DNC compliance</w:t>
      </w:r>
    </w:p>
    <w:p>
      <w:pPr>
        <w:pStyle w:val="FirstParagraph"/>
      </w:pPr>
      <w:r>
        <w:t xml:space="preserve">Three checks happen before any message is generated or sent: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Check</w:t>
            </w:r>
          </w:p>
        </w:tc>
        <w:tc>
          <w:tcPr/>
          <w:p>
            <w:pPr>
              <w:pStyle w:val="Compact"/>
            </w:pPr>
            <w:r>
              <w:t xml:space="preserve">Where</w:t>
            </w:r>
          </w:p>
        </w:tc>
        <w:tc>
          <w:tcPr/>
          <w:p>
            <w:pPr>
              <w:pStyle w:val="Compact"/>
            </w:pPr>
            <w:r>
              <w:t xml:space="preserve">What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do_not_contact_list</w:t>
            </w:r>
            <w:r>
              <w:t xml:space="preserve"> </w:t>
            </w:r>
            <w:r>
              <w:t xml:space="preserve">lookup</w:t>
            </w:r>
          </w:p>
        </w:tc>
        <w:tc>
          <w:tcPr/>
          <w:p>
            <w:pPr>
              <w:pStyle w:val="Compact"/>
            </w:pPr>
            <w:r>
              <w:t xml:space="preserve">At message-generation time (both EFs)</w:t>
            </w:r>
          </w:p>
        </w:tc>
        <w:tc>
          <w:tcPr/>
          <w:p>
            <w:pPr>
              <w:pStyle w:val="Compact"/>
            </w:pPr>
            <w:r>
              <w:t xml:space="preserve">15-row table — sourced from CARR’s</w:t>
            </w:r>
            <w:r>
              <w:t xml:space="preserve"> </w:t>
            </w:r>
            <w:r>
              <w:rPr>
                <w:rStyle w:val="VerbatimChar"/>
              </w:rPr>
              <w:t xml:space="preserve">DoNotContactList.xlsx</w:t>
            </w:r>
            <w:r>
              <w:t xml:space="preserve"> </w:t>
            </w:r>
            <w:r>
              <w:t xml:space="preserve">plus team additions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Tier suppression</w:t>
            </w:r>
          </w:p>
        </w:tc>
        <w:tc>
          <w:tcPr/>
          <w:p>
            <w:pPr>
              <w:pStyle w:val="Compact"/>
            </w:pPr>
            <w:r>
              <w:t xml:space="preserve">At fetch time (3 EFs:</w:t>
            </w:r>
            <w:r>
              <w:t xml:space="preserve"> </w:t>
            </w:r>
            <w:r>
              <w:rPr>
                <w:rStyle w:val="VerbatimChar"/>
              </w:rPr>
              <w:t xml:space="preserve">batch-generate-outreach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push-to-emailbison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send-linkedin-messages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SUPPRESSED_TIERS = ['warm_target', 'active_prospect', 'customer']</w:t>
            </w:r>
            <w:r>
              <w:t xml:space="preserve"> </w:t>
            </w:r>
            <w:r>
              <w:t xml:space="preserve">— accounts at these tiers never get cold-touched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Account-level skip</w:t>
            </w:r>
          </w:p>
        </w:tc>
        <w:tc>
          <w:tcPr/>
          <w:p>
            <w:pPr>
              <w:pStyle w:val="Compact"/>
            </w:pPr>
            <w:r>
              <w:t xml:space="preserve">At campaign-build time</w:t>
            </w:r>
          </w:p>
        </w:tc>
        <w:tc>
          <w:tcPr/>
          <w:p>
            <w:pPr>
              <w:pStyle w:val="Compact"/>
            </w:pPr>
            <w:r>
              <w:t xml:space="preserve">UX-driven, rep can mark</w:t>
            </w:r>
            <w:r>
              <w:t xml:space="preserve"> </w:t>
            </w:r>
            <w:r>
              <w:t xml:space="preserve">“don’t contact this account”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19" w:name="account-signals-new-in-v55-may-11"/>
    <w:p>
      <w:pPr>
        <w:pStyle w:val="Heading2"/>
      </w:pPr>
      <w:r>
        <w:t xml:space="preserve">Account signals (new in v55, May 11)</w:t>
      </w:r>
    </w:p>
    <w:p>
      <w:pPr>
        <w:pStyle w:val="FirstParagraph"/>
      </w:pPr>
      <w:r>
        <w:t xml:space="preserve">The major May 11 addition — outreach messages now have access to CARR’s live intelligence data (news, trials, grants, funding) as supplementary context: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Limit</w:t>
            </w:r>
          </w:p>
        </w:tc>
        <w:tc>
          <w:tcPr/>
          <w:p>
            <w:pPr>
              <w:pStyle w:val="Compact"/>
            </w:pPr>
            <w:r>
              <w:t xml:space="preserve">Recency filter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news_intelligence</w:t>
            </w:r>
          </w:p>
        </w:tc>
        <w:tc>
          <w:tcPr/>
          <w:p>
            <w:pPr>
              <w:pStyle w:val="Compact"/>
            </w:pPr>
            <w:r>
              <w:t xml:space="preserve">2 items</w:t>
            </w:r>
          </w:p>
        </w:tc>
        <w:tc>
          <w:tcPr/>
          <w:p>
            <w:pPr>
              <w:pStyle w:val="Compact"/>
            </w:pPr>
            <w:r>
              <w:t xml:space="preserve">last 120 days, sorted priority × recency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account_clinical_trials</w:t>
            </w:r>
          </w:p>
        </w:tc>
        <w:tc>
          <w:tcPr/>
          <w:p>
            <w:pPr>
              <w:pStyle w:val="Compact"/>
            </w:pPr>
            <w:r>
              <w:t xml:space="preserve">2 items</w:t>
            </w:r>
          </w:p>
        </w:tc>
        <w:tc>
          <w:tcPr/>
          <w:p>
            <w:pPr>
              <w:pStyle w:val="Compact"/>
            </w:pPr>
            <w:r>
              <w:t xml:space="preserve">start date ≤ 3 yrs old, active statuses preferred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account_grants</w:t>
            </w:r>
          </w:p>
        </w:tc>
        <w:tc>
          <w:tcPr/>
          <w:p>
            <w:pPr>
              <w:pStyle w:val="Compact"/>
            </w:pPr>
            <w:r>
              <w:t xml:space="preserve">1 item</w:t>
            </w:r>
          </w:p>
        </w:tc>
        <w:tc>
          <w:tcPr/>
          <w:p>
            <w:pPr>
              <w:pStyle w:val="Compact"/>
            </w:pPr>
            <w:r>
              <w:t xml:space="preserve">fiscal year ≤ 2 yrs, active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companies.enrichment_data</w:t>
            </w:r>
            <w:r>
              <w:t xml:space="preserve"> </w:t>
            </w:r>
            <w:r>
              <w:t xml:space="preserve">(funding)</w:t>
            </w:r>
          </w:p>
        </w:tc>
        <w:tc>
          <w:tcPr/>
          <w:p>
            <w:pPr>
              <w:pStyle w:val="Compact"/>
            </w:pPr>
            <w:r>
              <w:t xml:space="preserve">inline</w:t>
            </w:r>
          </w:p>
        </w:tc>
        <w:tc>
          <w:tcPr/>
          <w:p>
            <w:pPr>
              <w:pStyle w:val="Compact"/>
            </w:pPr>
            <w:r>
              <w:t xml:space="preserve">suppressed if unknown/public/nonprofit/private</w:t>
            </w:r>
          </w:p>
        </w:tc>
      </w:tr>
    </w:tbl>
    <w:p>
      <w:pPr>
        <w:pStyle w:val="BodyText"/>
      </w:pPr>
      <w:r>
        <w:t xml:space="preserve">Block is capped at 1,200 chars with explicit instruction</w:t>
      </w:r>
      <w:r>
        <w:t xml:space="preserve"> </w:t>
      </w:r>
      <w:r>
        <w:t xml:space="preserve">“use AT MOST ONE.”</w:t>
      </w:r>
      <w:r>
        <w:t xml:space="preserve"> </w:t>
      </w:r>
      <w:r>
        <w:t xml:space="preserve">The matrix remains primary; signals are background.</w:t>
      </w:r>
    </w:p>
    <w:p>
      <w:pPr>
        <w:pStyle w:val="BodyText"/>
      </w:pPr>
      <w:r>
        <w:t xml:space="preserve">Every message persists the full signals snapshot to</w:t>
      </w:r>
      <w:r>
        <w:t xml:space="preserve"> </w:t>
      </w:r>
      <w:r>
        <w:rPr>
          <w:rStyle w:val="VerbatimChar"/>
        </w:rPr>
        <w:t xml:space="preserve">outreach_messages.account_signals_snapshot</w:t>
      </w:r>
      <w:r>
        <w:t xml:space="preserve"> </w:t>
      </w:r>
      <w:r>
        <w:t xml:space="preserve">for audit. Metadata gains</w:t>
      </w:r>
      <w:r>
        <w:t xml:space="preserve"> </w:t>
      </w:r>
      <w:r>
        <w:rPr>
          <w:rStyle w:val="VerbatimChar"/>
        </w:rPr>
        <w:t xml:space="preserve">accountSignalsUsed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enrichmentSources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9"/>
    <w:bookmarkStart w:id="20" w:name="live-performance-proof-of-life"/>
    <w:p>
      <w:pPr>
        <w:pStyle w:val="Heading2"/>
      </w:pPr>
      <w:r>
        <w:t xml:space="preserve">Live performance (proof of life)</w:t>
      </w:r>
    </w:p>
    <w:p>
      <w:pPr>
        <w:pStyle w:val="FirstParagraph"/>
      </w:pPr>
      <w:r>
        <w:t xml:space="preserve">Smoke test, May 11 — Harish Santhanam (Juno Therapeutics, VP Cell Therapy Tech Ops):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messagingSource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db_matrix_cgt</w:t>
            </w:r>
            <w:r>
              <w:t xml:space="preserve"> </w:t>
            </w:r>
            <w:r>
              <w:t xml:space="preserve">(Tier 1, CGT-specific) 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marketingPersona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TECHNICAL</w:t>
            </w:r>
            <w:r>
              <w:t xml:space="preserve"> </w:t>
            </w: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accountSignalsUsed</w:t>
            </w:r>
          </w:p>
        </w:tc>
        <w:tc>
          <w:tcPr/>
          <w:p>
            <w:pPr>
              <w:pStyle w:val="Compact"/>
            </w:pPr>
            <w:r>
              <w:t xml:space="preserve">true 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accountSignalsSnapshot.trials</w:t>
            </w:r>
          </w:p>
        </w:tc>
        <w:tc>
          <w:tcPr/>
          <w:p>
            <w:pPr>
              <w:pStyle w:val="Compact"/>
            </w:pPr>
            <w:r>
              <w:t xml:space="preserve">2 entries (NCT07335562, NCT07115745) 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accountSignalsSnapshot.funding</w:t>
            </w:r>
          </w:p>
        </w:tc>
        <w:tc>
          <w:tcPr/>
          <w:p>
            <w:pPr>
              <w:pStyle w:val="Compact"/>
            </w:pPr>
            <w:r>
              <w:t xml:space="preserve">null (correctly suppressed — stage=public) 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Generated InMail</w:t>
            </w:r>
          </w:p>
        </w:tc>
        <w:tc>
          <w:tcPr/>
          <w:p>
            <w:pPr>
              <w:pStyle w:val="Compact"/>
            </w:pPr>
            <w:r>
              <w:t xml:space="preserve">910 chars, subject</w:t>
            </w:r>
            <w:r>
              <w:t xml:space="preserve"> </w:t>
            </w:r>
            <w:r>
              <w:rPr>
                <w:i/>
                <w:iCs/>
              </w:rPr>
              <w:t xml:space="preserve">“CAR-T processing challenges from bench to commercial scale”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Opening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“Juno’s CAR-T programs moving through clinical development likely face the classic challenge of maintaining cell viability and recovery when scaling separation protocols…”</w:t>
            </w:r>
          </w:p>
        </w:tc>
      </w:tr>
    </w:tbl>
    <w:p>
      <w:pPr>
        <w:pStyle w:val="BodyText"/>
      </w:pPr>
      <w:r>
        <w:t xml:space="preserve">Matrix dominated; trials provided conceptual support without quoting NCT IDs.</w:t>
      </w:r>
    </w:p>
    <w:p>
      <w:r>
        <w:pict>
          <v:rect style="width:0;height:1.5pt" o:hralign="center" o:hrstd="t" o:hr="t"/>
        </w:pict>
      </w:r>
    </w:p>
    <w:bookmarkEnd w:id="20"/>
    <w:bookmarkStart w:id="21" w:name="counts-may-6-snapshot"/>
    <w:p>
      <w:pPr>
        <w:pStyle w:val="Heading2"/>
      </w:pPr>
      <w:r>
        <w:t xml:space="preserve">Counts (May 6 snapshot)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 messages generated</w:t>
            </w:r>
          </w:p>
        </w:tc>
        <w:tc>
          <w:tcPr/>
          <w:p>
            <w:pPr>
              <w:pStyle w:val="Compact"/>
            </w:pPr>
            <w:r>
              <w:t xml:space="preserve">1,635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Sent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Draft (awaiting review)</w:t>
            </w:r>
          </w:p>
        </w:tc>
        <w:tc>
          <w:tcPr/>
          <w:p>
            <w:pPr>
              <w:pStyle w:val="Compact"/>
            </w:pPr>
            <w:r>
              <w:t xml:space="preserve">699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Archived</w:t>
            </w:r>
          </w:p>
        </w:tc>
        <w:tc>
          <w:tcPr/>
          <w:p>
            <w:pPr>
              <w:pStyle w:val="Compact"/>
            </w:pPr>
            <w:r>
              <w:t xml:space="preserve">402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cold type drafted</w:t>
            </w:r>
          </w:p>
        </w:tc>
        <w:tc>
          <w:tcPr/>
          <w:p>
            <w:pPr>
              <w:pStyle w:val="Compact"/>
            </w:pPr>
            <w:r>
              <w:t xml:space="preserve">748</w:t>
            </w:r>
          </w:p>
        </w:tc>
      </w:tr>
    </w:tbl>
    <w:p>
      <w:pPr>
        <w:pStyle w:val="BodyText"/>
      </w:pPr>
      <w:r>
        <w:t xml:space="preserve">The 699 drafts awaiting review is the current biggest</w:t>
      </w:r>
      <w:r>
        <w:t xml:space="preserve"> </w:t>
      </w:r>
      <w:r>
        <w:rPr>
          <w:i/>
          <w:iCs/>
        </w:rPr>
        <w:t xml:space="preserve">manual</w:t>
      </w:r>
      <w:r>
        <w:t xml:space="preserve"> </w:t>
      </w:r>
      <w:r>
        <w:t xml:space="preserve">lever: rep approval throughput. Once a rep marks</w:t>
      </w:r>
      <w:r>
        <w:t xml:space="preserve"> </w:t>
      </w:r>
      <w:r>
        <w:rPr>
          <w:rStyle w:val="VerbatimChar"/>
        </w:rPr>
        <w:t xml:space="preserve">ready_to_send</w:t>
      </w:r>
      <w:r>
        <w:t xml:space="preserve">, the cron picks it up and delivers within 2 hours.</w:t>
      </w:r>
    </w:p>
    <w:p>
      <w:r>
        <w:pict>
          <v:rect style="width:0;height:1.5pt" o:hralign="center" o:hrstd="t" o:hr="t"/>
        </w:pict>
      </w:r>
    </w:p>
    <w:bookmarkEnd w:id="21"/>
    <w:bookmarkStart w:id="22" w:name="what-this-layer-looks-like-elsewhere"/>
    <w:p>
      <w:pPr>
        <w:pStyle w:val="Heading2"/>
      </w:pPr>
      <w:r>
        <w:t xml:space="preserve">What this layer looks like elsewhere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message generator (general)</w:t>
            </w:r>
          </w:p>
        </w:tc>
        <w:tc>
          <w:tcPr/>
          <w:p>
            <w:pPr>
              <w:pStyle w:val="Compact"/>
            </w:pPr>
            <w:r>
              <w:t xml:space="preserve">Lavender, Regie.ai, Twain, Smartwriter</w:t>
            </w:r>
          </w:p>
        </w:tc>
        <w:tc>
          <w:tcPr/>
          <w:p>
            <w:pPr>
              <w:pStyle w:val="Compact"/>
            </w:pPr>
            <w:r>
              <w:t xml:space="preserve">Lavender Pro $29/user/mo published; Regie.ai is quote-only at team plans. None carry CARR’s positioning or matrix — they generate generic best-practice email.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Tone-controlled generation</w:t>
            </w:r>
          </w:p>
        </w:tc>
        <w:tc>
          <w:tcPr/>
          <w:p>
            <w:pPr>
              <w:pStyle w:val="Compact"/>
            </w:pPr>
            <w:r>
              <w:t xml:space="preserve">Claude / OpenAI API + custom prompt</w:t>
            </w:r>
          </w:p>
        </w:tc>
        <w:tc>
          <w:tcPr/>
          <w:p>
            <w:pPr>
              <w:pStyle w:val="Compact"/>
            </w:pPr>
            <w:r>
              <w:t xml:space="preserve">Same engine we use; the value-add is the 11-section prompt assembly.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Pain × persona × value matrix</w:t>
            </w:r>
          </w:p>
        </w:tc>
        <w:tc>
          <w:tcPr/>
          <w:p>
            <w:pPr>
              <w:pStyle w:val="Compact"/>
            </w:pPr>
            <w:r>
              <w:t xml:space="preserve">Sales enablement (Highspot, Seismic) + manual maintenance</w:t>
            </w:r>
          </w:p>
        </w:tc>
        <w:tc>
          <w:tcPr/>
          <w:p>
            <w:pPr>
              <w:pStyle w:val="Compact"/>
            </w:pPr>
            <w:r>
              <w:t xml:space="preserve">Highspot quote-only, third-party listings reference roughly $30K–$75K/yr. The matrix itself is data + process, not a SaaS thing — it lives in any system that can store the rows.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Writing-rules enforcement</w:t>
            </w:r>
          </w:p>
        </w:tc>
        <w:tc>
          <w:tcPr/>
          <w:p>
            <w:pPr>
              <w:pStyle w:val="Compact"/>
            </w:pPr>
            <w:r>
              <w:t xml:space="preserve">Custom code or Lavender’s Coach Mode</w:t>
            </w:r>
          </w:p>
        </w:tc>
        <w:tc>
          <w:tcPr/>
          <w:p>
            <w:pPr>
              <w:pStyle w:val="Compact"/>
            </w:pPr>
            <w:r>
              <w:t xml:space="preserve">Coach Mode scores live as you type; we enforce on generation.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Account-signals injection</w:t>
            </w:r>
          </w:p>
        </w:tc>
        <w:tc>
          <w:tcPr/>
          <w:p>
            <w:pPr>
              <w:pStyle w:val="Compact"/>
            </w:pPr>
            <w:r>
              <w:t xml:space="preserve">None off-the-shelf</w:t>
            </w:r>
          </w:p>
        </w:tc>
        <w:tc>
          <w:tcPr/>
          <w:p>
            <w:pPr>
              <w:pStyle w:val="Compact"/>
            </w:pPr>
            <w:r>
              <w:t xml:space="preserve">This is the unique part — most ABM tools surface signals to humans, not to message generation.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2"/>
        </w:numPr>
      </w:pPr>
      <w:r>
        <w:t xml:space="preserve">Canonical audit (most current):</w:t>
      </w:r>
      <w:r>
        <w:t xml:space="preserve"> </w:t>
      </w:r>
      <w:r>
        <w:rPr>
          <w:rStyle w:val="VerbatimChar"/>
        </w:rPr>
        <w:t xml:space="preserve">docs/SSO_MATRIX_DEEP_DIVE_2026-05-11.md</w:t>
      </w:r>
    </w:p>
    <w:p>
      <w:pPr>
        <w:pStyle w:val="Compact"/>
        <w:numPr>
          <w:ilvl w:val="0"/>
          <w:numId w:val="1002"/>
        </w:numPr>
      </w:pPr>
      <w:r>
        <w:t xml:space="preserve">Outreach messaging skill:</w:t>
      </w:r>
      <w:r>
        <w:t xml:space="preserve"> </w:t>
      </w:r>
      <w:r>
        <w:rPr>
          <w:rStyle w:val="VerbatimChar"/>
        </w:rPr>
        <w:t xml:space="preserve">skills/outreach_messaging.md</w:t>
      </w:r>
    </w:p>
    <w:p>
      <w:pPr>
        <w:pStyle w:val="Compact"/>
        <w:numPr>
          <w:ilvl w:val="0"/>
          <w:numId w:val="1002"/>
        </w:numPr>
      </w:pPr>
      <w:r>
        <w:t xml:space="preserve">Messaging matrix data:</w:t>
      </w:r>
      <w:r>
        <w:t xml:space="preserve"> </w:t>
      </w:r>
      <w:r>
        <w:rPr>
          <w:rStyle w:val="VerbatimChar"/>
        </w:rPr>
        <w:t xml:space="preserve">context/icp/messaging_matrix.md</w:t>
      </w:r>
    </w:p>
    <w:p>
      <w:pPr>
        <w:pStyle w:val="Compact"/>
        <w:numPr>
          <w:ilvl w:val="0"/>
          <w:numId w:val="1002"/>
        </w:numPr>
      </w:pPr>
      <w:r>
        <w:t xml:space="preserve">Message generation contract:</w:t>
      </w:r>
      <w:r>
        <w:t xml:space="preserve"> </w:t>
      </w:r>
      <w:r>
        <w:rPr>
          <w:rStyle w:val="VerbatimChar"/>
        </w:rPr>
        <w:t xml:space="preserve">context/icp/messaging_generation.md</w:t>
      </w:r>
    </w:p>
    <w:p>
      <w:pPr>
        <w:pStyle w:val="Compact"/>
        <w:numPr>
          <w:ilvl w:val="0"/>
          <w:numId w:val="1002"/>
        </w:numPr>
      </w:pPr>
      <w:r>
        <w:t xml:space="preserve">EF source:</w:t>
      </w:r>
      <w:r>
        <w:t xml:space="preserve"> </w:t>
      </w:r>
      <w:r>
        <w:rPr>
          <w:rStyle w:val="VerbatimChar"/>
        </w:rPr>
        <w:t xml:space="preserve">supabase/functions/generate-outreach-message/index.ts</w:t>
      </w:r>
      <w:r>
        <w:t xml:space="preserve"> </w:t>
      </w:r>
      <w:r>
        <w:t xml:space="preserve">(v55 banner)</w:t>
      </w:r>
    </w:p>
    <w:p>
      <w:pPr>
        <w:pStyle w:val="Compact"/>
        <w:numPr>
          <w:ilvl w:val="0"/>
          <w:numId w:val="1002"/>
        </w:numPr>
      </w:pPr>
      <w:r>
        <w:t xml:space="preserve">Batch EF source:</w:t>
      </w:r>
      <w:r>
        <w:t xml:space="preserve"> </w:t>
      </w:r>
      <w:r>
        <w:rPr>
          <w:rStyle w:val="VerbatimChar"/>
        </w:rPr>
        <w:t xml:space="preserve">supabase/functions/batch-generate-outreach/index.ts</w:t>
      </w:r>
      <w:r>
        <w:t xml:space="preserve"> </w:t>
      </w:r>
      <w:r>
        <w:t xml:space="preserve">(v51 banner)</w:t>
      </w:r>
    </w:p>
    <w:p>
      <w:pPr>
        <w:pStyle w:val="Compact"/>
        <w:numPr>
          <w:ilvl w:val="0"/>
          <w:numId w:val="1002"/>
        </w:numPr>
      </w:pPr>
      <w:r>
        <w:t xml:space="preserve">Live intelligence data feeding signals:</w:t>
      </w:r>
      <w:r>
        <w:t xml:space="preserve"> </w:t>
      </w:r>
      <w:r>
        <w:rPr>
          <w:rStyle w:val="VerbatimChar"/>
        </w:rPr>
        <w:t xml:space="preserve">09_live_intelligence_apis.md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Messaging System (SSO Matrix)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