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 Intelligence APIs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0" w:name="live-intelligence-apis-the-moat"/>
    <w:p>
      <w:pPr>
        <w:pStyle w:val="Heading1"/>
      </w:pPr>
      <w:r>
        <w:t xml:space="preserve">09 — Live Intelligence APIs (The Moat)</w:t>
      </w:r>
    </w:p>
    <w:p>
      <w:pPr>
        <w:pStyle w:val="BlockText"/>
      </w:pPr>
      <w:r>
        <w:rPr>
          <w:b/>
          <w:bCs/>
        </w:rPr>
        <w:t xml:space="preserve">Parent:</w:t>
      </w:r>
      <w:r>
        <w:t xml:space="preserve"> </w:t>
      </w:r>
      <w:r>
        <w:rPr>
          <w:rStyle w:val="VerbatimChar"/>
        </w:rPr>
        <w:t xml:space="preserve">00_INDEX.md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Reading time:</w:t>
      </w:r>
      <w:r>
        <w:t xml:space="preserve"> </w:t>
      </w:r>
      <w:r>
        <w:t xml:space="preserve">6 min</w:t>
      </w:r>
    </w:p>
    <w:p>
      <w:pPr>
        <w:pStyle w:val="FirstParagraph"/>
      </w:pPr>
      <w:r>
        <w:t xml:space="preserve">This is the part that doesn’t show up in an SDR’s morning routine but quietly makes everything more accurate every single day. CARR’s account data isn’t a snapshot — it’s a continuously-refreshed picture, fed by 4 separate data sources running on different cadences. As of v55 of the message generator, this data flows directly into the outreach prompt.</w:t>
      </w:r>
    </w:p>
    <w:p>
      <w:pPr>
        <w:pStyle w:val="BlockText"/>
      </w:pPr>
      <w:r>
        <w:rPr>
          <w:b/>
          <w:bCs/>
        </w:rPr>
        <w:t xml:space="preserve">Not in scope:</w:t>
      </w:r>
      <w:r>
        <w:t xml:space="preserve"> </w:t>
      </w:r>
      <w:r>
        <w:t xml:space="preserve">social listening (LinkedIn post/engagement monitoring) and the ELG team-activity feed were never fully built out and are</w:t>
      </w:r>
      <w:r>
        <w:t xml:space="preserve"> </w:t>
      </w:r>
      <w:r>
        <w:rPr>
          <w:b/>
          <w:bCs/>
        </w:rPr>
        <w:t xml:space="preserve">excluded</w:t>
      </w:r>
      <w:r>
        <w:t xml:space="preserve"> </w:t>
      </w:r>
      <w:r>
        <w:t xml:space="preserve">from the platform going forward. They are not part of the migration and are not a deliverable.</w:t>
      </w:r>
    </w:p>
    <w:p>
      <w:r>
        <w:pict>
          <v:rect style="width:0;height:1.5pt" o:hralign="center" o:hrstd="t" o:hr="t"/>
        </w:pict>
      </w:r>
    </w:p>
    <w:bookmarkStart w:id="9" w:name="the-four-live-data-feeds"/>
    <w:p>
      <w:pPr>
        <w:pStyle w:val="Heading2"/>
      </w:pPr>
      <w:r>
        <w:t xml:space="preserve">The four live data feeds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What it provides</w:t>
            </w:r>
          </w:p>
        </w:tc>
        <w:tc>
          <w:tcPr/>
          <w:p>
            <w:pPr>
              <w:pStyle w:val="Compact"/>
            </w:pPr>
            <w:r>
              <w:t xml:space="preserve">Refresh cadence</w:t>
            </w:r>
          </w:p>
        </w:tc>
        <w:tc>
          <w:tcPr/>
          <w:p>
            <w:pPr>
              <w:pStyle w:val="Compact"/>
            </w:pPr>
            <w:r>
              <w:t xml:space="preserve">Coverage in CARR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BioCreative Hub</w:t>
            </w:r>
            <w:r>
              <w:t xml:space="preserve"> </w:t>
            </w:r>
            <w:r>
              <w:t xml:space="preserve">(cgt_accounts)</w:t>
            </w:r>
          </w:p>
        </w:tc>
        <w:tc>
          <w:tcPr/>
          <w:p>
            <w:pPr>
              <w:pStyle w:val="Compact"/>
            </w:pPr>
            <w:r>
              <w:t xml:space="preserve">New CGT companies discovered universe-wide</w:t>
            </w:r>
          </w:p>
        </w:tc>
        <w:tc>
          <w:tcPr/>
          <w:p>
            <w:pPr>
              <w:pStyle w:val="Compact"/>
            </w:pPr>
            <w:r>
              <w:t xml:space="preserve">Weekly (Sun 2am)</w:t>
            </w:r>
          </w:p>
        </w:tc>
        <w:tc>
          <w:tcPr/>
          <w:p>
            <w:pPr>
              <w:pStyle w:val="Compact"/>
            </w:pPr>
            <w:r>
              <w:t xml:space="preserve">3,964 companies live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News intelligence</w:t>
            </w:r>
          </w:p>
        </w:tc>
        <w:tc>
          <w:tcPr/>
          <w:p>
            <w:pPr>
              <w:pStyle w:val="Compact"/>
            </w:pPr>
            <w:r>
              <w:t xml:space="preserve">Industry news matched to CARR target accounts</w:t>
            </w:r>
          </w:p>
        </w:tc>
        <w:tc>
          <w:tcPr/>
          <w:p>
            <w:pPr>
              <w:pStyle w:val="Compact"/>
            </w:pPr>
            <w:r>
              <w:t xml:space="preserve">Every 4 hours</w:t>
            </w:r>
          </w:p>
        </w:tc>
        <w:tc>
          <w:tcPr/>
          <w:p>
            <w:pPr>
              <w:pStyle w:val="Compact"/>
            </w:pPr>
            <w:r>
              <w:t xml:space="preserve">704 articles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ClinicalTrials.gov</w:t>
            </w:r>
          </w:p>
        </w:tc>
        <w:tc>
          <w:tcPr/>
          <w:p>
            <w:pPr>
              <w:pStyle w:val="Compact"/>
            </w:pPr>
            <w:r>
              <w:t xml:space="preserve">New + updated trials matched to account sponsors</w:t>
            </w:r>
          </w:p>
        </w:tc>
        <w:tc>
          <w:tcPr/>
          <w:p>
            <w:pPr>
              <w:pStyle w:val="Compact"/>
            </w:pPr>
            <w:r>
              <w:t xml:space="preserve">Weekly (Sun 3am)</w:t>
            </w:r>
          </w:p>
        </w:tc>
        <w:tc>
          <w:tcPr/>
          <w:p>
            <w:pPr>
              <w:pStyle w:val="Compact"/>
            </w:pPr>
            <w:r>
              <w:t xml:space="preserve">1,862 trials matched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NIH RePORTER</w:t>
            </w:r>
          </w:p>
        </w:tc>
        <w:tc>
          <w:tcPr/>
          <w:p>
            <w:pPr>
              <w:pStyle w:val="Compact"/>
            </w:pPr>
            <w:r>
              <w:t xml:space="preserve">New + ongoing grants matched to academic institutions</w:t>
            </w:r>
          </w:p>
        </w:tc>
        <w:tc>
          <w:tcPr/>
          <w:p>
            <w:pPr>
              <w:pStyle w:val="Compact"/>
            </w:pPr>
            <w:r>
              <w:t xml:space="preserve">Weekly (Sun 4am)</w:t>
            </w:r>
          </w:p>
        </w:tc>
        <w:tc>
          <w:tcPr/>
          <w:p>
            <w:pPr>
              <w:pStyle w:val="Compact"/>
            </w:pPr>
            <w:r>
              <w:t xml:space="preserve">5,000 grants matched</w:t>
            </w:r>
          </w:p>
        </w:tc>
      </w:tr>
    </w:tbl>
    <w:p>
      <w:pPr>
        <w:pStyle w:val="BodyText"/>
      </w:pPr>
      <w:r>
        <w:t xml:space="preserve">Plus references read live from Hub when needed: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SEC EDGAR</w:t>
      </w:r>
      <w:r>
        <w:t xml:space="preserve"> </w:t>
      </w:r>
      <w:r>
        <w:t xml:space="preserve">— filings for public CGT companies (viewed live, not synced)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PatentsView</w:t>
      </w:r>
      <w:r>
        <w:t xml:space="preserve"> </w:t>
      </w:r>
      <w:r>
        <w:t xml:space="preserve">— patent activity for CGT companies (viewed live, not synced)</w:t>
      </w:r>
    </w:p>
    <w:p>
      <w:r>
        <w:pict>
          <v:rect style="width:0;height:1.5pt" o:hralign="center" o:hrstd="t" o:hr="t"/>
        </w:pict>
      </w:r>
    </w:p>
    <w:bookmarkEnd w:id="9"/>
    <w:bookmarkStart w:id="11" w:name="the-news-pipeline-most-active-feed"/>
    <w:p>
      <w:pPr>
        <w:pStyle w:val="Heading2"/>
      </w:pPr>
      <w:r>
        <w:t xml:space="preserve">The news pipeline (most active feed)</w:t>
      </w:r>
    </w:p>
    <w:p>
      <w:pPr>
        <w:pStyle w:val="FirstParagraph"/>
      </w:pPr>
      <w:r>
        <w:t xml:space="preserve">This is the most visible auto-refreshed source. Architecture from</w:t>
      </w:r>
      <w:r>
        <w:t xml:space="preserve"> </w:t>
      </w:r>
      <w:r>
        <w:rPr>
          <w:rStyle w:val="VerbatimChar"/>
        </w:rPr>
        <w:t xml:space="preserve">_shared/reference/NEWS_INTELLIGENCE_PIPELINE.md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BioCreative Hub news pipeline (runs on Ops VPS, 2x/day 05:00 + 17:30 UTC Mon-Sat)</w:t>
      </w:r>
      <w:r>
        <w:br/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   ├── Source scrapes (industry news outlets, PR wires, company blogs)</w:t>
      </w:r>
      <w:r>
        <w:br/>
      </w:r>
      <w:r>
        <w:rPr>
          <w:rStyle w:val="VerbatimChar"/>
        </w:rPr>
        <w:t xml:space="preserve">   ├── Article classifier (Claude Sonnet 4) — categorizes by priority, topic, company match</w:t>
      </w:r>
      <w:r>
        <w:br/>
      </w:r>
      <w:r>
        <w:rPr>
          <w:rStyle w:val="VerbatimChar"/>
        </w:rPr>
        <w:t xml:space="preserve">   ├── AI analyzer — extracts company mentions, modality tags, deal types</w:t>
      </w:r>
      <w:r>
        <w:br/>
      </w:r>
      <w:r>
        <w:rPr>
          <w:rStyle w:val="VerbatimChar"/>
        </w:rPr>
        <w:t xml:space="preserve">   └── AI enricher — links to matched accounts, scores relevance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└─→ Hub.client_news_intelligence (master table, all clients)</w:t>
      </w:r>
      <w:r>
        <w:br/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              ▼  every 4 hours via pg_cron</w:t>
      </w:r>
      <w:r>
        <w:br/>
      </w:r>
      <w:r>
        <w:rPr>
          <w:rStyle w:val="VerbatimChar"/>
        </w:rPr>
        <w:t xml:space="preserve">              sync_news_from_life_science_with_logging()</w:t>
      </w:r>
      <w:r>
        <w:br/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              └─→ CARR.news_intelligence (CARR-specific filtered subset)</w:t>
      </w:r>
    </w:p>
    <w:p>
      <w:pPr>
        <w:pStyle w:val="FirstParagraph"/>
      </w:pPr>
      <w:r>
        <w:t xml:space="preserve">Pipeline cost: ~$1.35/run, ~$2.70/day in Claude API costs at the Hub. CARR pays $0 for sync (just PostgreSQL pg_net HTTP calls).</w:t>
      </w:r>
    </w:p>
    <w:bookmarkStart w:id="10" w:name="where-it-surfaces"/>
    <w:p>
      <w:pPr>
        <w:pStyle w:val="Heading3"/>
      </w:pPr>
      <w:r>
        <w:t xml:space="preserve">Where it surfaces</w:t>
      </w:r>
    </w:p>
    <w:p>
      <w:pPr>
        <w:pStyle w:val="Compact"/>
        <w:numPr>
          <w:ilvl w:val="0"/>
          <w:numId w:val="1001"/>
        </w:numPr>
      </w:pPr>
      <w:r>
        <w:t xml:space="preserve">News page (</w:t>
      </w:r>
      <w:r>
        <w:rPr>
          <w:rStyle w:val="VerbatimChar"/>
        </w:rPr>
        <w:t xml:space="preserve">/news</w:t>
      </w:r>
      <w:r>
        <w:t xml:space="preserve">) — chronological feed</w:t>
      </w:r>
    </w:p>
    <w:p>
      <w:pPr>
        <w:pStyle w:val="Compact"/>
        <w:numPr>
          <w:ilvl w:val="0"/>
          <w:numId w:val="1001"/>
        </w:numPr>
      </w:pPr>
      <w:r>
        <w:t xml:space="preserve">Account Detail → News tab — per-account news history</w:t>
      </w:r>
    </w:p>
    <w:p>
      <w:pPr>
        <w:pStyle w:val="Compact"/>
        <w:numPr>
          <w:ilvl w:val="0"/>
          <w:numId w:val="1001"/>
        </w:numPr>
      </w:pPr>
      <w:r>
        <w:t xml:space="preserve">High-priority news appears in Task Center as alerts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of v55</w:t>
      </w:r>
      <w:r>
        <w:t xml:space="preserve"> </w:t>
      </w:r>
      <w:r>
        <w:t xml:space="preserve">— top 2 news items inject into outreach prompts as account signals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2" w:name="X4650a0ec4aec933afeb2c117e2c4dec3d717f1e"/>
    <w:p>
      <w:pPr>
        <w:pStyle w:val="Heading2"/>
      </w:pPr>
      <w:r>
        <w:t xml:space="preserve">Clinical trials (CARR’s strongest signal source)</w:t>
      </w:r>
    </w:p>
    <w:p>
      <w:pPr>
        <w:pStyle w:val="FirstParagraph"/>
      </w:pPr>
      <w:r>
        <w:t xml:space="preserve">For a centrifuge-equipment company, clinical trials are the leading indicator of buying activity:</w:t>
      </w:r>
      <w:r>
        <w:t xml:space="preserve"> </w:t>
      </w:r>
      <w:r>
        <w:t xml:space="preserve">- New Phase 2/3 trial start → manufacturing scale-up imminent → equipment decision window</w:t>
      </w:r>
      <w:r>
        <w:t xml:space="preserve"> </w:t>
      </w:r>
      <w:r>
        <w:t xml:space="preserve">- Phase transition (1→2, 2→3) → process re-validation → upgrade opportunity</w:t>
      </w:r>
      <w:r>
        <w:t xml:space="preserve"> </w:t>
      </w:r>
      <w:r>
        <w:t xml:space="preserve">- Site activation → CMO/CDMO selection → competitive equipment decision</w:t>
      </w:r>
    </w:p>
    <w:p>
      <w:pPr>
        <w:pStyle w:val="BodyText"/>
      </w:pPr>
      <w:r>
        <w:t xml:space="preserve">The pipeline: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sync_clinical_trials_from_hub()</w:t>
      </w:r>
      <w:r>
        <w:t xml:space="preserve"> </w:t>
      </w:r>
      <w:r>
        <w:t xml:space="preserve">runs Sunday 3am</w:t>
      </w:r>
    </w:p>
    <w:p>
      <w:pPr>
        <w:pStyle w:val="Compact"/>
        <w:numPr>
          <w:ilvl w:val="0"/>
          <w:numId w:val="1002"/>
        </w:numPr>
      </w:pPr>
      <w:r>
        <w:t xml:space="preserve">Pulls all trials where sponsor name matches a CARR account</w:t>
      </w:r>
    </w:p>
    <w:p>
      <w:pPr>
        <w:pStyle w:val="Compact"/>
        <w:numPr>
          <w:ilvl w:val="0"/>
          <w:numId w:val="1002"/>
        </w:numPr>
      </w:pPr>
      <w:r>
        <w:t xml:space="preserve">Writes to</w:t>
      </w:r>
      <w:r>
        <w:t xml:space="preserve"> </w:t>
      </w:r>
      <w:r>
        <w:rPr>
          <w:rStyle w:val="VerbatimChar"/>
        </w:rPr>
        <w:t xml:space="preserve">account_clinical_trials</w:t>
      </w:r>
      <w:r>
        <w:t xml:space="preserve"> </w:t>
      </w:r>
      <w:r>
        <w:t xml:space="preserve">with start_date, phase, status, modality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Account signals loader</w:t>
      </w:r>
      <w:r>
        <w:t xml:space="preserve"> </w:t>
      </w:r>
      <w:r>
        <w:t xml:space="preserve">(v55 EF) pulls top 2 active trials per account into outreach prompts</w:t>
      </w:r>
    </w:p>
    <w:p>
      <w:pPr>
        <w:pStyle w:val="Compact"/>
        <w:numPr>
          <w:ilvl w:val="0"/>
          <w:numId w:val="1002"/>
        </w:numPr>
      </w:pPr>
      <w:r>
        <w:t xml:space="preserve">Trials page (</w:t>
      </w:r>
      <w:r>
        <w:rPr>
          <w:rStyle w:val="VerbatimChar"/>
        </w:rPr>
        <w:t xml:space="preserve">/account-detail/:id/trials</w:t>
      </w:r>
      <w:r>
        <w:t xml:space="preserve">) shows the full per-account picture</w:t>
      </w:r>
    </w:p>
    <w:p>
      <w:pPr>
        <w:pStyle w:val="FirstParagraph"/>
      </w:pPr>
      <w:r>
        <w:t xml:space="preserve">Coverage:</w:t>
      </w:r>
      <w:r>
        <w:t xml:space="preserve"> </w:t>
      </w:r>
      <w:r>
        <w:rPr>
          <w:b/>
          <w:bCs/>
        </w:rPr>
        <w:t xml:space="preserve">1,862 trials matched to CARR accounts</w:t>
      </w:r>
      <w:r>
        <w:t xml:space="preserve">. 341 distinct companies have at least one tracked trial — meaning the account-signals layer can use real trial data for nearly</w:t>
      </w:r>
      <w:r>
        <w:t xml:space="preserve"> </w:t>
      </w:r>
      <w:r>
        <w:rPr>
          <w:i/>
          <w:iCs/>
        </w:rPr>
        <w:t xml:space="preserve">every</w:t>
      </w:r>
      <w:r>
        <w:t xml:space="preserve"> </w:t>
      </w:r>
      <w:r>
        <w:t xml:space="preserve">late-stage CGT therapeutic developer in CARR’s universe.</w:t>
      </w:r>
    </w:p>
    <w:p>
      <w:r>
        <w:pict>
          <v:rect style="width:0;height:1.5pt" o:hralign="center" o:hrstd="t" o:hr="t"/>
        </w:pict>
      </w:r>
    </w:p>
    <w:bookmarkEnd w:id="12"/>
    <w:bookmarkStart w:id="13" w:name="nih-grants-academic-side-intelligence"/>
    <w:p>
      <w:pPr>
        <w:pStyle w:val="Heading2"/>
      </w:pPr>
      <w:r>
        <w:t xml:space="preserve">NIH grants (academic-side intelligence)</w:t>
      </w:r>
    </w:p>
    <w:p>
      <w:pPr>
        <w:pStyle w:val="FirstParagraph"/>
      </w:pPr>
      <w:r>
        <w:t xml:space="preserve">For academic institutions (570+ in CARR’s universe), NIH grants are the funding leading indicator. The pipeline: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sync_grants_from_hub()</w:t>
      </w:r>
      <w:r>
        <w:t xml:space="preserve"> </w:t>
      </w:r>
      <w:r>
        <w:t xml:space="preserve">runs Sunday 4am</w:t>
      </w:r>
    </w:p>
    <w:p>
      <w:pPr>
        <w:pStyle w:val="Compact"/>
        <w:numPr>
          <w:ilvl w:val="0"/>
          <w:numId w:val="1003"/>
        </w:numPr>
      </w:pPr>
      <w:r>
        <w:t xml:space="preserve">Matches grant recipient organization name to CARR academic accounts</w:t>
      </w:r>
    </w:p>
    <w:p>
      <w:pPr>
        <w:pStyle w:val="Compact"/>
        <w:numPr>
          <w:ilvl w:val="0"/>
          <w:numId w:val="1003"/>
        </w:numPr>
      </w:pPr>
      <w:r>
        <w:t xml:space="preserve">Writes to</w:t>
      </w:r>
      <w:r>
        <w:t xml:space="preserve"> </w:t>
      </w:r>
      <w:r>
        <w:rPr>
          <w:rStyle w:val="VerbatimChar"/>
        </w:rPr>
        <w:t xml:space="preserve">account_grants</w:t>
      </w:r>
      <w:r>
        <w:t xml:space="preserve"> </w:t>
      </w:r>
      <w:r>
        <w:t xml:space="preserve">with PI name, fiscal year, award amount, project description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Account signals loader</w:t>
      </w:r>
      <w:r>
        <w:t xml:space="preserve"> </w:t>
      </w:r>
      <w:r>
        <w:t xml:space="preserve">picks up the most recent active grant per academic account</w:t>
      </w:r>
    </w:p>
    <w:p>
      <w:pPr>
        <w:pStyle w:val="FirstParagraph"/>
      </w:pPr>
      <w:r>
        <w:t xml:space="preserve">Coverage:</w:t>
      </w:r>
      <w:r>
        <w:t xml:space="preserve"> </w:t>
      </w:r>
      <w:r>
        <w:rPr>
          <w:b/>
          <w:bCs/>
        </w:rPr>
        <w:t xml:space="preserve">5,000 grants matched</w:t>
      </w:r>
      <w:r>
        <w:t xml:space="preserve"> </w:t>
      </w:r>
      <w:r>
        <w:t xml:space="preserve">across 90 distinct institutions. Deep coverage on the institutions that get most CGT NIH funding (Stanford, Harvard, Penn, Duke, etc.).</w:t>
      </w:r>
    </w:p>
    <w:p>
      <w:r>
        <w:pict>
          <v:rect style="width:0;height:1.5pt" o:hralign="center" o:hrstd="t" o:hr="t"/>
        </w:pict>
      </w:r>
    </w:p>
    <w:bookmarkEnd w:id="13"/>
    <w:bookmarkStart w:id="14" w:name="sec-edgar-patents-read-live-not-synced"/>
    <w:p>
      <w:pPr>
        <w:pStyle w:val="Heading2"/>
      </w:pPr>
      <w:r>
        <w:t xml:space="preserve">SEC EDGAR + Patents (read-live, not synced)</w:t>
      </w:r>
    </w:p>
    <w:p>
      <w:pPr>
        <w:pStyle w:val="FirstParagraph"/>
      </w:pPr>
      <w:r>
        <w:t xml:space="preserve">These don’t need their own CARR-side tables because they’re querable from the Hub on demand: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SEC filings</w:t>
      </w:r>
      <w:r>
        <w:t xml:space="preserve"> </w:t>
      </w:r>
      <w:r>
        <w:t xml:space="preserve">— 10-K, 10-Q, 8-K filings for publicly-traded CGT companies. Surfaces material events: facility expansions, manufacturing partnerships, capital raises, M&amp;A.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Patents</w:t>
      </w:r>
      <w:r>
        <w:t xml:space="preserve"> </w:t>
      </w:r>
      <w:r>
        <w:t xml:space="preserve">— granted + applications mapped to CGT companies. Forward-looking signal of technology direction.</w:t>
      </w:r>
    </w:p>
    <w:p>
      <w:pPr>
        <w:pStyle w:val="FirstParagraph"/>
      </w:pPr>
      <w:r>
        <w:t xml:space="preserve">Both available at Hub</w:t>
      </w:r>
      <w:r>
        <w:t xml:space="preserve"> </w:t>
      </w:r>
      <w:r>
        <w:rPr>
          <w:rStyle w:val="VerbatimChar"/>
        </w:rPr>
        <w:t xml:space="preserve">mjsgtszehjltxmbxtctz</w:t>
      </w:r>
      <w:r>
        <w:t xml:space="preserve"> </w:t>
      </w:r>
      <w:r>
        <w:t xml:space="preserve">— 2,800+ filings, 2,900+ patents universe-wide. Read live when needed; not pre-synced because volume is large and use-case is more episodic.</w:t>
      </w:r>
    </w:p>
    <w:p>
      <w:r>
        <w:pict>
          <v:rect style="width:0;height:1.5pt" o:hralign="center" o:hrstd="t" o:hr="t"/>
        </w:pict>
      </w:r>
    </w:p>
    <w:bookmarkEnd w:id="14"/>
    <w:bookmarkStart w:id="15" w:name="X393dc73ddcbca369c46d74b17157fc6e0f14ad5"/>
    <w:p>
      <w:pPr>
        <w:pStyle w:val="Heading2"/>
      </w:pPr>
      <w:r>
        <w:t xml:space="preserve">What</w:t>
      </w:r>
      <w:r>
        <w:t xml:space="preserve"> </w:t>
      </w:r>
      <w:r>
        <w:t xml:space="preserve">“match a trial to a CARR account”</w:t>
      </w:r>
      <w:r>
        <w:t xml:space="preserve"> </w:t>
      </w:r>
      <w:r>
        <w:t xml:space="preserve">actually means</w:t>
      </w:r>
    </w:p>
    <w:p>
      <w:pPr>
        <w:pStyle w:val="FirstParagraph"/>
      </w:pPr>
      <w:r>
        <w:t xml:space="preserve">This is the part that’s harder than it sounds. Trial sponsors are recorded as free-text —</w:t>
      </w:r>
      <w:r>
        <w:t xml:space="preserve"> </w:t>
      </w:r>
      <w:r>
        <w:t xml:space="preserve">“Juno Therapeutics”</w:t>
      </w:r>
      <w:r>
        <w:t xml:space="preserve"> </w:t>
      </w:r>
      <w:r>
        <w:t xml:space="preserve">vs</w:t>
      </w:r>
      <w:r>
        <w:t xml:space="preserve"> </w:t>
      </w:r>
      <w:r>
        <w:t xml:space="preserve">“Juno Therapeutics, Inc.”</w:t>
      </w:r>
      <w:r>
        <w:t xml:space="preserve"> </w:t>
      </w:r>
      <w:r>
        <w:t xml:space="preserve">vs</w:t>
      </w:r>
      <w:r>
        <w:t xml:space="preserve"> </w:t>
      </w:r>
      <w:r>
        <w:t xml:space="preserve">“Juno Therapeutics, Inc., a Bristol-Myers Squibb company”</w:t>
      </w:r>
      <w:r>
        <w:t xml:space="preserve"> </w:t>
      </w:r>
      <w:r>
        <w:t xml:space="preserve">— all the same company. The matching pipeline:</w:t>
      </w:r>
    </w:p>
    <w:p>
      <w:pPr>
        <w:pStyle w:val="Compact"/>
        <w:numPr>
          <w:ilvl w:val="0"/>
          <w:numId w:val="1005"/>
        </w:numPr>
      </w:pPr>
      <w:r>
        <w:t xml:space="preserve">Tokenize sponsor name + lemma + lowercasing</w:t>
      </w:r>
    </w:p>
    <w:p>
      <w:pPr>
        <w:pStyle w:val="Compact"/>
        <w:numPr>
          <w:ilvl w:val="0"/>
          <w:numId w:val="1005"/>
        </w:numPr>
      </w:pPr>
      <w:r>
        <w:t xml:space="preserve">Compare against</w:t>
      </w:r>
      <w:r>
        <w:t xml:space="preserve"> </w:t>
      </w:r>
      <w:r>
        <w:rPr>
          <w:rStyle w:val="VerbatimChar"/>
        </w:rPr>
        <w:t xml:space="preserve">companies.company_name</w:t>
      </w:r>
      <w:r>
        <w:t xml:space="preserve">,</w:t>
      </w:r>
      <w:r>
        <w:t xml:space="preserve"> </w:t>
      </w:r>
      <w:r>
        <w:rPr>
          <w:rStyle w:val="VerbatimChar"/>
        </w:rPr>
        <w:t xml:space="preserve">aka_names[]</w:t>
      </w:r>
      <w:r>
        <w:t xml:space="preserve">, and parsed alias variants</w:t>
      </w:r>
    </w:p>
    <w:p>
      <w:pPr>
        <w:pStyle w:val="Compact"/>
        <w:numPr>
          <w:ilvl w:val="0"/>
          <w:numId w:val="1005"/>
        </w:numPr>
      </w:pPr>
      <w:r>
        <w:t xml:space="preserve">PostgreSQL</w:t>
      </w:r>
      <w:r>
        <w:t xml:space="preserve"> </w:t>
      </w:r>
      <w:r>
        <w:rPr>
          <w:rStyle w:val="VerbatimChar"/>
        </w:rPr>
        <w:t xml:space="preserve">pg_trgm</w:t>
      </w:r>
      <w:r>
        <w:t xml:space="preserve"> </w:t>
      </w:r>
      <w:r>
        <w:t xml:space="preserve">similarity scoring + threshold</w:t>
      </w:r>
    </w:p>
    <w:p>
      <w:pPr>
        <w:pStyle w:val="Compact"/>
        <w:numPr>
          <w:ilvl w:val="0"/>
          <w:numId w:val="1005"/>
        </w:numPr>
      </w:pPr>
      <w:r>
        <w:t xml:space="preserve">Manual review queue for low-confidence matches</w:t>
      </w:r>
    </w:p>
    <w:p>
      <w:pPr>
        <w:pStyle w:val="FirstParagraph"/>
      </w:pPr>
      <w:r>
        <w:t xml:space="preserve">Plus organization-restructuring awareness — when Juno was acquired by BMS, both names should match. This is handled in the Hub-side matching, not CARR-side.</w:t>
      </w:r>
    </w:p>
    <w:p>
      <w:pPr>
        <w:pStyle w:val="BodyText"/>
      </w:pPr>
      <w:r>
        <w:t xml:space="preserve">Same logic applies to NIH grants (recipient organization names), patents (assignee names), and news (company mentions extracted by AI).</w:t>
      </w:r>
    </w:p>
    <w:p>
      <w:r>
        <w:pict>
          <v:rect style="width:0;height:1.5pt" o:hralign="center" o:hrstd="t" o:hr="t"/>
        </w:pict>
      </w:r>
    </w:p>
    <w:bookmarkEnd w:id="15"/>
    <w:bookmarkStart w:id="16" w:name="X2de307f3cc4e5d2d22245114ad242803b2c3b48"/>
    <w:p>
      <w:pPr>
        <w:pStyle w:val="Heading2"/>
      </w:pPr>
      <w:r>
        <w:t xml:space="preserve">How it all converges in the outreach prompt</w:t>
      </w:r>
    </w:p>
    <w:p>
      <w:pPr>
        <w:pStyle w:val="FirstParagraph"/>
      </w:pPr>
      <w:r>
        <w:t xml:space="preserve">For a Tier 1 therapeutic developer contact, the</w:t>
      </w:r>
      <w:r>
        <w:t xml:space="preserve"> </w:t>
      </w:r>
      <w:r>
        <w:t xml:space="preserve">“Recent Account Signals”</w:t>
      </w:r>
      <w:r>
        <w:t xml:space="preserve"> </w:t>
      </w:r>
      <w:r>
        <w:t xml:space="preserve">block in the prompt might look like:</w:t>
      </w:r>
    </w:p>
    <w:p>
      <w:pPr>
        <w:pStyle w:val="SourceCode"/>
      </w:pPr>
      <w:r>
        <w:rPr>
          <w:rStyle w:val="VerbatimChar"/>
        </w:rPr>
        <w:t xml:space="preserve">RECENT ACCOUNT SIGNALS (background context — use AT MOST ONE):</w:t>
      </w:r>
      <w:r>
        <w:br/>
      </w:r>
      <w:r>
        <w:br/>
      </w:r>
      <w:r>
        <w:rPr>
          <w:rStyle w:val="VerbatimChar"/>
        </w:rPr>
        <w:t xml:space="preserve">Funding: Series C, $180M raised Q4 2025. Lead investors: ARCH Venture Partners,</w:t>
      </w:r>
      <w:r>
        <w:br/>
      </w:r>
      <w:r>
        <w:rPr>
          <w:rStyle w:val="VerbatimChar"/>
        </w:rPr>
        <w:t xml:space="preserve">Casdin Capital.</w:t>
      </w:r>
      <w:r>
        <w:br/>
      </w:r>
      <w:r>
        <w:br/>
      </w:r>
      <w:r>
        <w:rPr>
          <w:rStyle w:val="VerbatimChar"/>
        </w:rPr>
        <w:t xml:space="preserve">Trials: NCT07335562 — Phase 3, NOT_YET_RECRUITING, "Allogeneic CAR-T for r/r DLBCL"</w:t>
      </w:r>
      <w:r>
        <w:br/>
      </w:r>
      <w:r>
        <w:rPr>
          <w:rStyle w:val="VerbatimChar"/>
        </w:rPr>
        <w:t xml:space="preserve">(start 2026-08-12). NCT07115745 — Phase 1, RECRUITING (start 2026-03-04).</w:t>
      </w:r>
      <w:r>
        <w:br/>
      </w:r>
      <w:r>
        <w:br/>
      </w:r>
      <w:r>
        <w:rPr>
          <w:rStyle w:val="VerbatimChar"/>
        </w:rPr>
        <w:t xml:space="preserve">News: 2026-04-22, "Juno announces $80M GMP manufacturing expansion in Seattle"</w:t>
      </w:r>
      <w:r>
        <w:br/>
      </w:r>
      <w:r>
        <w:rPr>
          <w:rStyle w:val="VerbatimChar"/>
        </w:rPr>
        <w:t xml:space="preserve">(priority: high, deal_type: facility_expansion).</w:t>
      </w:r>
      <w:r>
        <w:br/>
      </w:r>
      <w:r>
        <w:br/>
      </w:r>
      <w:r>
        <w:rPr>
          <w:rStyle w:val="VerbatimChar"/>
        </w:rPr>
        <w:t xml:space="preserve">Grants: (no active NIH grants — company is for-profit, public stage).</w:t>
      </w:r>
    </w:p>
    <w:p>
      <w:pPr>
        <w:pStyle w:val="FirstParagraph"/>
      </w:pPr>
      <w:r>
        <w:t xml:space="preserve">This block adds maybe 800 characters to the prompt. It’s hard-capped at 1,200. The instruction explicitly tells the LLM to reference at most one of these signals, conceptually — not to list them.</w:t>
      </w:r>
    </w:p>
    <w:p>
      <w:pPr>
        <w:pStyle w:val="BodyText"/>
      </w:pPr>
      <w:r>
        <w:t xml:space="preserve">The result: messages reference real, current, account-specific context without sounding like a database dump.</w:t>
      </w:r>
    </w:p>
    <w:p>
      <w:r>
        <w:pict>
          <v:rect style="width:0;height:1.5pt" o:hralign="center" o:hrstd="t" o:hr="t"/>
        </w:pict>
      </w:r>
    </w:p>
    <w:bookmarkEnd w:id="16"/>
    <w:bookmarkStart w:id="17" w:name="what-this-layer-looks-like-elsewhere"/>
    <w:p>
      <w:pPr>
        <w:pStyle w:val="Heading2"/>
      </w:pPr>
      <w:r>
        <w:t xml:space="preserve">What this layer looks like elsewhere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Typical alternative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Company news monitoring</w:t>
            </w:r>
          </w:p>
        </w:tc>
        <w:tc>
          <w:tcPr/>
          <w:p>
            <w:pPr>
              <w:pStyle w:val="Compact"/>
            </w:pPr>
            <w:r>
              <w:t xml:space="preserve">Owler, Crunchbase Pro, Google Alerts + Slack</w:t>
            </w:r>
          </w:p>
        </w:tc>
        <w:tc>
          <w:tcPr/>
          <w:p>
            <w:pPr>
              <w:pStyle w:val="Compact"/>
            </w:pPr>
            <w:r>
              <w:t xml:space="preserve">Owler Pro published ~$420/yr per user; Crunchbase Pro published $49/user/mo. Neither is structured for AI consumption.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Clinical trial tracking</w:t>
            </w:r>
          </w:p>
        </w:tc>
        <w:tc>
          <w:tcPr/>
          <w:p>
            <w:pPr>
              <w:pStyle w:val="Compact"/>
            </w:pPr>
            <w:r>
              <w:t xml:space="preserve">Citeline Trialtrove, GlobalData, ClinicalTrials.gov direct + manual matching</w:t>
            </w:r>
          </w:p>
        </w:tc>
        <w:tc>
          <w:tcPr/>
          <w:p>
            <w:pPr>
              <w:pStyle w:val="Compact"/>
            </w:pPr>
            <w:r>
              <w:t xml:space="preserve">Citeline Trialtrove and GlobalData are enterprise pharma intelligence subscriptions — typically five-figure annual minimum, quote-only.</w:t>
            </w:r>
          </w:p>
        </w:tc>
      </w:tr>
      <w:tr>
        <w:tc>
          <w:tcPr/>
          <w:p>
            <w:pPr>
              <w:pStyle w:val="Compact"/>
            </w:pPr>
            <w:r>
              <w:t xml:space="preserve">NIH grants</w:t>
            </w:r>
          </w:p>
        </w:tc>
        <w:tc>
          <w:tcPr/>
          <w:p>
            <w:pPr>
              <w:pStyle w:val="Compact"/>
            </w:pPr>
            <w:r>
              <w:t xml:space="preserve">NIH RePORTER (free, but raw) + manual matching</w:t>
            </w:r>
          </w:p>
        </w:tc>
        <w:tc>
          <w:tcPr/>
          <w:p>
            <w:pPr>
              <w:pStyle w:val="Compact"/>
            </w:pPr>
            <w:r>
              <w:t xml:space="preserve">Free at the source, but match-to-account at scale is a data-engineering project.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Patents</w:t>
            </w:r>
          </w:p>
        </w:tc>
        <w:tc>
          <w:tcPr/>
          <w:p>
            <w:pPr>
              <w:pStyle w:val="Compact"/>
            </w:pPr>
            <w:r>
              <w:t xml:space="preserve">PatSnap, Questel Orbit, Derwent Innovation</w:t>
            </w:r>
          </w:p>
        </w:tc>
        <w:tc>
          <w:tcPr/>
          <w:p>
            <w:pPr>
              <w:pStyle w:val="Compact"/>
            </w:pPr>
            <w:r>
              <w:t xml:space="preserve">All enterprise IP databases — multi-five-figure annual subscriptions.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Intent data (third-party)</w:t>
            </w:r>
          </w:p>
        </w:tc>
        <w:tc>
          <w:tcPr/>
          <w:p>
            <w:pPr>
              <w:pStyle w:val="Compact"/>
            </w:pPr>
            <w:r>
              <w:t xml:space="preserve">Bombora, 6sense, Demandbase</w:t>
            </w:r>
          </w:p>
        </w:tc>
        <w:tc>
          <w:tcPr/>
          <w:p>
            <w:pPr>
              <w:pStyle w:val="Compact"/>
            </w:pPr>
            <w:r>
              <w:t xml:space="preserve">All quote-only ABM platforms. Bombora data feeds into many of them.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Unified feed into AI prompts</w:t>
            </w:r>
          </w:p>
        </w:tc>
        <w:tc>
          <w:tcPr/>
          <w:p>
            <w:pPr>
              <w:pStyle w:val="Compact"/>
            </w:pPr>
            <w:r>
              <w:t xml:space="preserve">None</w:t>
            </w:r>
          </w:p>
        </w:tc>
        <w:tc>
          <w:tcPr/>
          <w:p>
            <w:pPr>
              <w:pStyle w:val="Compact"/>
            </w:pPr>
            <w:r>
              <w:t xml:space="preserve">The</w:t>
            </w:r>
            <w:r>
              <w:t xml:space="preserve"> </w:t>
            </w:r>
            <w:r>
              <w:t xml:space="preserve">“all these sources, AI-matched per account, injected into outreach generation”</w:t>
            </w:r>
            <w:r>
              <w:t xml:space="preserve"> </w:t>
            </w:r>
            <w:r>
              <w:t xml:space="preserve">pattern isn’t an off-the-shelf product.</w:t>
            </w:r>
          </w:p>
        </w:tc>
      </w:tr>
    </w:tbl>
    <w:p>
      <w:pPr>
        <w:pStyle w:val="BodyText"/>
      </w:pPr>
      <w:r>
        <w:t xml:space="preserve">Most teams use 2–3 of these sources separately, surface them in dashboards, and rely on humans to synthesize. The CARR system collapses the synthesis into the message-generation step.</w:t>
      </w:r>
    </w:p>
    <w:p>
      <w:r>
        <w:pict>
          <v:rect style="width:0;height:1.5pt" o:hralign="center" o:hrstd="t" o:hr="t"/>
        </w:pict>
      </w:r>
    </w:p>
    <w:bookmarkEnd w:id="17"/>
    <w:bookmarkStart w:id="18" w:name="honest-limitations"/>
    <w:p>
      <w:pPr>
        <w:pStyle w:val="Heading2"/>
      </w:pPr>
      <w:r>
        <w:t xml:space="preserve">Honest limitations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News with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company_id</w:t>
      </w:r>
      <w:r>
        <w:rPr>
          <w:b/>
          <w:bCs/>
        </w:rPr>
        <w:t xml:space="preserve"> </w:t>
      </w:r>
      <w:r>
        <w:rPr>
          <w:b/>
          <w:bCs/>
        </w:rPr>
        <w:t xml:space="preserve">direct link is sparse</w:t>
      </w:r>
      <w:r>
        <w:t xml:space="preserve"> </w:t>
      </w:r>
      <w:r>
        <w:t xml:space="preserve">— 38 rows / 26 distinct companies. Most news is matched via</w:t>
      </w:r>
      <w:r>
        <w:t xml:space="preserve"> </w:t>
      </w:r>
      <w:r>
        <w:rPr>
          <w:rStyle w:val="VerbatimChar"/>
        </w:rPr>
        <w:t xml:space="preserve">matched_accounts[]</w:t>
      </w:r>
      <w:r>
        <w:t xml:space="preserve"> </w:t>
      </w:r>
      <w:r>
        <w:t xml:space="preserve">array; future enhancement could pull array-matched into the signals loader too (see SSO deep-dive §8</w:t>
      </w:r>
      <w:r>
        <w:t xml:space="preserve"> </w:t>
      </w:r>
      <w:r>
        <w:t xml:space="preserve">“Open gaps”</w:t>
      </w:r>
      <w:r>
        <w:t xml:space="preserve">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Patents + SEC filings not synced into CARR yet</w:t>
      </w:r>
      <w:r>
        <w:t xml:space="preserve"> </w:t>
      </w:r>
      <w:r>
        <w:t xml:space="preserve">— they exist on the Hub, can be queried live, but aren’t in CARR’s</w:t>
      </w:r>
      <w:r>
        <w:t xml:space="preserve"> </w:t>
      </w:r>
      <w:r>
        <w:rPr>
          <w:rStyle w:val="VerbatimChar"/>
        </w:rPr>
        <w:t xml:space="preserve">account_signals</w:t>
      </w:r>
      <w:r>
        <w:t xml:space="preserve"> </w:t>
      </w:r>
      <w:r>
        <w:t xml:space="preserve">loader. Low-hanging future addition.</w:t>
      </w:r>
    </w:p>
    <w:p>
      <w:r>
        <w:pict>
          <v:rect style="width:0;height:1.5pt" o:hralign="center" o:hrstd="t" o:hr="t"/>
        </w:pict>
      </w:r>
    </w:p>
    <w:bookmarkEnd w:id="18"/>
    <w:bookmarkStart w:id="19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7"/>
        </w:numPr>
      </w:pPr>
      <w:r>
        <w:t xml:space="preserve">News pipeline reference:</w:t>
      </w:r>
      <w:r>
        <w:t xml:space="preserve"> </w:t>
      </w:r>
      <w:r>
        <w:rPr>
          <w:rStyle w:val="VerbatimChar"/>
        </w:rPr>
        <w:t xml:space="preserve">biocreativeaihub/_shared/reference/NEWS_INTELLIGENCE_PIPELINE.md</w:t>
      </w:r>
    </w:p>
    <w:p>
      <w:pPr>
        <w:pStyle w:val="Compact"/>
        <w:numPr>
          <w:ilvl w:val="0"/>
          <w:numId w:val="1007"/>
        </w:numPr>
      </w:pPr>
      <w:r>
        <w:t xml:space="preserve">News pipeline runbook:</w:t>
      </w:r>
      <w:r>
        <w:t xml:space="preserve"> </w:t>
      </w:r>
      <w:r>
        <w:rPr>
          <w:rStyle w:val="VerbatimChar"/>
        </w:rPr>
        <w:t xml:space="preserve">biocreativeaihub/departments/internal-ops/context/operations/NEWS_PIPELINE_RUNBOOK.md</w:t>
      </w:r>
    </w:p>
    <w:p>
      <w:pPr>
        <w:pStyle w:val="Compact"/>
        <w:numPr>
          <w:ilvl w:val="0"/>
          <w:numId w:val="1007"/>
        </w:numPr>
      </w:pPr>
      <w:r>
        <w:t xml:space="preserve">Data flows:</w:t>
      </w:r>
      <w:r>
        <w:t xml:space="preserve"> </w:t>
      </w:r>
      <w:r>
        <w:rPr>
          <w:rStyle w:val="VerbatimChar"/>
        </w:rPr>
        <w:t xml:space="preserve">context/database/data_flows.md</w:t>
      </w:r>
    </w:p>
    <w:p>
      <w:pPr>
        <w:pStyle w:val="Compact"/>
        <w:numPr>
          <w:ilvl w:val="0"/>
          <w:numId w:val="1007"/>
        </w:numPr>
      </w:pPr>
      <w:r>
        <w:t xml:space="preserve">Hub-to-CARR sync map:</w:t>
      </w:r>
      <w:r>
        <w:t xml:space="preserve"> </w:t>
      </w:r>
      <w:r>
        <w:rPr>
          <w:rStyle w:val="VerbatimChar"/>
        </w:rPr>
        <w:t xml:space="preserve">context/database/hub_to_carr_sync_map.md</w:t>
      </w:r>
    </w:p>
    <w:p>
      <w:pPr>
        <w:pStyle w:val="Compact"/>
        <w:numPr>
          <w:ilvl w:val="0"/>
          <w:numId w:val="1007"/>
        </w:numPr>
      </w:pPr>
      <w:r>
        <w:t xml:space="preserve">SSO matrix account signals integration:</w:t>
      </w:r>
      <w:r>
        <w:t xml:space="preserve"> </w:t>
      </w:r>
      <w:r>
        <w:rPr>
          <w:rStyle w:val="VerbatimChar"/>
        </w:rPr>
        <w:t xml:space="preserve">docs/SSO_MATRIX_DEEP_DIVE_2026-05-11.md</w:t>
      </w:r>
      <w:r>
        <w:t xml:space="preserve"> </w:t>
      </w:r>
      <w:r>
        <w:t xml:space="preserve">§4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Intelligence APIs</dc:title>
  <dc:creator>BioCreative Strategies; Prepared for CARR Biosystems (Barry-Wehmiller)</dc:creator>
  <cp:keywords/>
  <dcterms:created xsi:type="dcterms:W3CDTF">2026-07-22T01:52:23Z</dcterms:created>
  <dcterms:modified xsi:type="dcterms:W3CDTF">2026-07-22T01:52:23Z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