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 Alternative Cost Reference</w:t>
      </w:r>
    </w:p>
    <w:p>
      <w:pPr>
        <w:pStyle w:val="Author"/>
      </w:pPr>
      <w:r>
        <w:t xml:space="preserve">BioCreative Strategies</w:t>
      </w:r>
    </w:p>
    <w:p>
      <w:pPr>
        <w:pStyle w:val="Author"/>
      </w:pPr>
      <w:r>
        <w:t xml:space="preserve">Prepared for CARR Biosystems (Barry-Wehmiller)</w:t>
      </w:r>
    </w:p>
    <w:p>
      <w:pPr>
        <w:pStyle w:val="Date"/>
      </w:pPr>
      <w:r>
        <w:t xml:space="preserve">July 21,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24" w:name="market-alternative-cost-reference"/>
    <w:p>
      <w:pPr>
        <w:pStyle w:val="Heading1"/>
      </w:pPr>
      <w:r>
        <w:t xml:space="preserve">12 — Market Alternative Cost Reference</w:t>
      </w:r>
    </w:p>
    <w:p>
      <w:pPr>
        <w:pStyle w:val="BlockText"/>
      </w:pPr>
      <w:r>
        <w:rPr>
          <w:b/>
          <w:bCs/>
        </w:rPr>
        <w:t xml:space="preserve">Parent:</w:t>
      </w:r>
      <w:r>
        <w:t xml:space="preserve"> </w:t>
      </w:r>
      <w:r>
        <w:rPr>
          <w:rStyle w:val="VerbatimChar"/>
        </w:rPr>
        <w:t xml:space="preserve">00_INDEX.md</w:t>
      </w:r>
      <w:r>
        <w:t xml:space="preserve"> </w:t>
      </w:r>
      <w:r>
        <w:t xml:space="preserve">·</w:t>
      </w:r>
      <w:r>
        <w:t xml:space="preserve"> </w:t>
      </w:r>
      <w:r>
        <w:rPr>
          <w:b/>
          <w:bCs/>
        </w:rPr>
        <w:t xml:space="preserve">Reading time:</w:t>
      </w:r>
      <w:r>
        <w:t xml:space="preserve"> </w:t>
      </w:r>
      <w:r>
        <w:t xml:space="preserve">6 min ·</w:t>
      </w:r>
      <w:r>
        <w:t xml:space="preserve"> </w:t>
      </w:r>
      <w:r>
        <w:rPr>
          <w:b/>
          <w:bCs/>
        </w:rPr>
        <w:t xml:space="preserve">Purpose:</w:t>
      </w:r>
      <w:r>
        <w:t xml:space="preserve"> </w:t>
      </w:r>
      <w:r>
        <w:t xml:space="preserve">Make the stack choices visible. Not a sales pitch — a reference for whenever the CARR team is choosing where to invest going forward.</w:t>
      </w:r>
    </w:p>
    <w:p>
      <w:pPr>
        <w:pStyle w:val="FirstParagraph"/>
      </w:pPr>
      <w:r>
        <w:t xml:space="preserve">The CARR + BioCreative engagement is one of many ways to assemble the layers covered in this package. This file lays out what the comparable commercial stacks look like — for each of the 11 prior layers, what a CARR-equivalent could be built/bought from, and what those tools cost.</w:t>
      </w:r>
    </w:p>
    <w:p>
      <w:pPr>
        <w:pStyle w:val="BodyText"/>
      </w:pPr>
      <w:r>
        <w:t xml:space="preserve">Every dollar figure here is either (a) published on the vendor’s pricing page, or (b) widely reported in industry research / third-party tracker sites. Quote-only enterprise SaaS prices are clearly marked as such. See</w:t>
      </w:r>
      <w:r>
        <w:t xml:space="preserve"> </w:t>
      </w:r>
      <w:r>
        <w:rPr>
          <w:rStyle w:val="VerbatimChar"/>
        </w:rPr>
        <w:t xml:space="preserve">_appendix_citations.md</w:t>
      </w:r>
      <w:r>
        <w:t xml:space="preserve"> </w:t>
      </w:r>
      <w:r>
        <w:t xml:space="preserve">for source links.</w:t>
      </w:r>
    </w:p>
    <w:p>
      <w:r>
        <w:pict>
          <v:rect style="width:0;height:1.5pt" o:hralign="center" o:hrstd="t" o:hr="t"/>
        </w:pict>
      </w:r>
    </w:p>
    <w:bookmarkStart w:id="9" w:name="reading-this-table"/>
    <w:p>
      <w:pPr>
        <w:pStyle w:val="Heading2"/>
      </w:pPr>
      <w:r>
        <w:t xml:space="preserve">Reading this table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Layer</w:t>
      </w:r>
      <w:r>
        <w:t xml:space="preserve"> </w:t>
      </w:r>
      <w:r>
        <w:t xml:space="preserve">— one of the 11 from this package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CARR has today</w:t>
      </w:r>
      <w:r>
        <w:t xml:space="preserve"> </w:t>
      </w:r>
      <w:r>
        <w:t xml:space="preserve">— the current system component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Common commercial alternative(s)</w:t>
      </w:r>
      <w:r>
        <w:t xml:space="preserve"> </w:t>
      </w:r>
      <w:r>
        <w:t xml:space="preserve">— what most B2B companies would buy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Published / typical cost</w:t>
      </w:r>
      <w:r>
        <w:t xml:space="preserve"> </w:t>
      </w:r>
      <w:r>
        <w:t xml:space="preserve">— best-available reference cost, with caveats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Trade-off note</w:t>
      </w:r>
      <w:r>
        <w:t xml:space="preserve"> </w:t>
      </w:r>
      <w:r>
        <w:t xml:space="preserve">— what’s different between the choices</w:t>
      </w:r>
    </w:p>
    <w:p>
      <w:r>
        <w:pict>
          <v:rect style="width:0;height:1.5pt" o:hralign="center" o:hrstd="t" o:hr="t"/>
        </w:pict>
      </w:r>
    </w:p>
    <w:bookmarkEnd w:id="9"/>
    <w:bookmarkStart w:id="20" w:name="the-reference"/>
    <w:p>
      <w:pPr>
        <w:pStyle w:val="Heading2"/>
      </w:pPr>
      <w:r>
        <w:t xml:space="preserve">The reference</w:t>
      </w:r>
    </w:p>
    <w:bookmarkStart w:id="10" w:name="X4a5a2a47ce57588956e810b43bfce2d009ba907"/>
    <w:p>
      <w:pPr>
        <w:pStyle w:val="Heading3"/>
      </w:pPr>
      <w:r>
        <w:t xml:space="preserve">Layer 02 — Brand + positioning + voice + messaging matrix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What CARR has today</w:t>
            </w:r>
          </w:p>
        </w:tc>
        <w:tc>
          <w:tcPr/>
          <w:p>
            <w:pPr>
              <w:pStyle w:val="Compact"/>
            </w:pPr>
            <w:r>
              <w:t xml:space="preserve">Common alternative(s)</w:t>
            </w:r>
          </w:p>
        </w:tc>
        <w:tc>
          <w:tcPr/>
          <w:p>
            <w:pPr>
              <w:pStyle w:val="Compact"/>
            </w:pPr>
            <w:r>
              <w:t xml:space="preserve">Published / typical cost</w:t>
            </w:r>
          </w:p>
        </w:tc>
        <w:tc>
          <w:tcPr/>
          <w:p>
            <w:pPr>
              <w:pStyle w:val="Compact"/>
            </w:pPr>
            <w:r>
              <w:t xml:space="preserve">Trade-off</w:t>
            </w:r>
          </w:p>
        </w:tc>
      </w:tr>
      <w:tr>
        <w:tc>
          <w:tcPr/>
          <w:p>
            <w:pPr>
              <w:pStyle w:val="Compact"/>
            </w:pPr>
            <w:r>
              <w:t xml:space="preserve">4 master docs + 30 research docs + 17K-char positioning JSON injected into every AI generation</w:t>
            </w:r>
          </w:p>
        </w:tc>
        <w:tc>
          <w:tcPr/>
          <w:p>
            <w:pPr>
              <w:pStyle w:val="Compact"/>
            </w:pPr>
            <w:r>
              <w:t xml:space="preserve">Brand strategy firm engagement (1-time) + sales enablement platform (ongoing)</w:t>
            </w:r>
          </w:p>
        </w:tc>
        <w:tc>
          <w:tcPr/>
          <w:p>
            <w:pPr>
              <w:pStyle w:val="Compact"/>
            </w:pPr>
            <w:r>
              <w:t xml:space="preserve">Brand strategy engagements range from</w:t>
            </w:r>
            <w:r>
              <w:t xml:space="preserve"> </w:t>
            </w:r>
            <w:r>
              <w:rPr>
                <w:b/>
                <w:bCs/>
              </w:rPr>
              <w:t xml:space="preserve">$10K–$120K</w:t>
            </w:r>
            <w:r>
              <w:t xml:space="preserve"> </w:t>
            </w:r>
            <w:r>
              <w:t xml:space="preserve">depending on firm tier (Branding Compass, Lithium, Pentagram — public references). Highspot / Seismic enablement: quote-only, third-party trackers reference roughly</w:t>
            </w:r>
            <w:r>
              <w:t xml:space="preserve"> </w:t>
            </w:r>
            <w:r>
              <w:rPr>
                <w:b/>
                <w:bCs/>
              </w:rPr>
              <w:t xml:space="preserve">$30K–$75K/yr</w:t>
            </w:r>
            <w:r>
              <w:t xml:space="preserve">.</w:t>
            </w:r>
          </w:p>
        </w:tc>
        <w:tc>
          <w:tcPr/>
          <w:p>
            <w:pPr>
              <w:pStyle w:val="Compact"/>
            </w:pPr>
            <w:r>
              <w:t xml:space="preserve">Off-the-shelf brand work is usually delivered as a slide deck. CARR’s positioning is machine-readable and runs at every message generation.</w:t>
            </w:r>
          </w:p>
        </w:tc>
      </w:tr>
    </w:tbl>
    <w:bookmarkEnd w:id="10"/>
    <w:bookmarkStart w:id="11" w:name="layer-03-hub-spoke-database-architecture"/>
    <w:p>
      <w:pPr>
        <w:pStyle w:val="Heading3"/>
      </w:pPr>
      <w:r>
        <w:t xml:space="preserve">Layer 03 — Hub-spoke database architecture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What CARR has today</w:t>
            </w:r>
          </w:p>
        </w:tc>
        <w:tc>
          <w:tcPr/>
          <w:p>
            <w:pPr>
              <w:pStyle w:val="Compact"/>
            </w:pPr>
            <w:r>
              <w:t xml:space="preserve">Common alternative(s)</w:t>
            </w:r>
          </w:p>
        </w:tc>
        <w:tc>
          <w:tcPr/>
          <w:p>
            <w:pPr>
              <w:pStyle w:val="Compact"/>
            </w:pPr>
            <w:r>
              <w:t xml:space="preserve">Published / typical cost</w:t>
            </w:r>
          </w:p>
        </w:tc>
        <w:tc>
          <w:tcPr/>
          <w:p>
            <w:pPr>
              <w:pStyle w:val="Compact"/>
            </w:pPr>
            <w:r>
              <w:t xml:space="preserve">Trade-off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PostgreSQL hub + per-client spoke, 446 migrations, RLS + vault</w:t>
            </w:r>
          </w:p>
        </w:tc>
        <w:tc>
          <w:tcPr/>
          <w:p>
            <w:pPr>
              <w:pStyle w:val="Compact"/>
            </w:pPr>
            <w:r>
              <w:t xml:space="preserve">Snowflake / Databricks + reverse-ETL (Hightouch, Census) + custom sync</w:t>
            </w:r>
          </w:p>
        </w:tc>
        <w:tc>
          <w:tcPr/>
          <w:p>
            <w:pPr>
              <w:pStyle w:val="Compact"/>
            </w:pPr>
            <w:r>
              <w:t xml:space="preserve">Snowflake credits start at</w:t>
            </w:r>
            <w:r>
              <w:t xml:space="preserve"> </w:t>
            </w:r>
            <w:r>
              <w:rPr>
                <w:b/>
                <w:bCs/>
              </w:rPr>
              <w:t xml:space="preserve">~$2/credit</w:t>
            </w:r>
            <w:r>
              <w:t xml:space="preserve"> </w:t>
            </w:r>
            <w:r>
              <w:t xml:space="preserve">for Standard edition (public pricing); small-team usage commonly</w:t>
            </w:r>
            <w:r>
              <w:t xml:space="preserve"> </w:t>
            </w:r>
            <w:r>
              <w:rPr>
                <w:b/>
                <w:bCs/>
              </w:rPr>
              <w:t xml:space="preserve">$1K–$5K/mo</w:t>
            </w:r>
            <w:r>
              <w:t xml:space="preserve">. Hightouch Pro starts</w:t>
            </w:r>
            <w:r>
              <w:t xml:space="preserve"> </w:t>
            </w:r>
            <w:r>
              <w:rPr>
                <w:b/>
                <w:bCs/>
              </w:rPr>
              <w:t xml:space="preserve">$1,250/mo</w:t>
            </w:r>
            <w:r>
              <w:t xml:space="preserve"> </w:t>
            </w:r>
            <w:r>
              <w:t xml:space="preserve">(public). Equivalent stack:</w:t>
            </w:r>
            <w:r>
              <w:t xml:space="preserve"> </w:t>
            </w:r>
            <w:r>
              <w:rPr>
                <w:b/>
                <w:bCs/>
              </w:rPr>
              <w:t xml:space="preserve">~$30K+/yr</w:t>
            </w:r>
            <w:r>
              <w:t xml:space="preserve"> </w:t>
            </w:r>
            <w:r>
              <w:t xml:space="preserve">before engineering.</w:t>
            </w:r>
          </w:p>
        </w:tc>
        <w:tc>
          <w:tcPr/>
          <w:p>
            <w:pPr>
              <w:pStyle w:val="Compact"/>
            </w:pPr>
            <w:r>
              <w:t xml:space="preserve">The Supabase choice means lower marginal cost but less mature governance tooling vs Snowflake. Trade is intentional.</w:t>
            </w:r>
          </w:p>
        </w:tc>
      </w:tr>
    </w:tbl>
    <w:bookmarkEnd w:id="11"/>
    <w:bookmarkStart w:id="12" w:name="layer-04-account-universe-icp-scoring"/>
    <w:p>
      <w:pPr>
        <w:pStyle w:val="Heading3"/>
      </w:pPr>
      <w:r>
        <w:t xml:space="preserve">Layer 04 — Account universe + ICP scoring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What CARR has today</w:t>
            </w:r>
          </w:p>
        </w:tc>
        <w:tc>
          <w:tcPr/>
          <w:p>
            <w:pPr>
              <w:pStyle w:val="Compact"/>
            </w:pPr>
            <w:r>
              <w:t xml:space="preserve">Common alternative(s)</w:t>
            </w:r>
          </w:p>
        </w:tc>
        <w:tc>
          <w:tcPr/>
          <w:p>
            <w:pPr>
              <w:pStyle w:val="Compact"/>
            </w:pPr>
            <w:r>
              <w:t xml:space="preserve">Published / typical cost</w:t>
            </w:r>
          </w:p>
        </w:tc>
        <w:tc>
          <w:tcPr/>
          <w:p>
            <w:pPr>
              <w:pStyle w:val="Compact"/>
            </w:pPr>
            <w:r>
              <w:t xml:space="preserve">Trade-off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17K Hub TAM filtered to 3,964 CGT, ICP v2 scoring across 4 dimensions, 7-status lifecycle</w:t>
            </w:r>
          </w:p>
        </w:tc>
        <w:tc>
          <w:tcPr/>
          <w:p>
            <w:pPr>
              <w:pStyle w:val="Compact"/>
            </w:pPr>
            <w:r>
              <w:t xml:space="preserve">ZoomInfo / Apollo for TAM + 6sense or Demandbase for ABM scoring</w:t>
            </w:r>
          </w:p>
        </w:tc>
        <w:tc>
          <w:tcPr/>
          <w:p>
            <w:pPr>
              <w:pStyle w:val="Compact"/>
            </w:pPr>
            <w:r>
              <w:t xml:space="preserve">Apollo public plans up to</w:t>
            </w:r>
            <w:r>
              <w:t xml:space="preserve"> </w:t>
            </w:r>
            <w:r>
              <w:rPr>
                <w:b/>
                <w:bCs/>
              </w:rPr>
              <w:t xml:space="preserve">$99/user/mo</w:t>
            </w:r>
            <w:r>
              <w:t xml:space="preserve"> </w:t>
            </w:r>
            <w:r>
              <w:t xml:space="preserve">(with usage caps); ZoomInfo Advanced is</w:t>
            </w:r>
            <w:r>
              <w:t xml:space="preserve"> </w:t>
            </w:r>
            <w:r>
              <w:rPr>
                <w:b/>
                <w:bCs/>
              </w:rPr>
              <w:t xml:space="preserve">quote-only</w:t>
            </w:r>
            <w:r>
              <w:t xml:space="preserve"> </w:t>
            </w:r>
            <w:r>
              <w:t xml:space="preserve">and routinely cited in five-figure annual ranges per third-party trackers. 6sense / Demandbase are</w:t>
            </w:r>
            <w:r>
              <w:t xml:space="preserve"> </w:t>
            </w:r>
            <w:r>
              <w:rPr>
                <w:b/>
                <w:bCs/>
              </w:rPr>
              <w:t xml:space="preserve">quote-only ABM platforms</w:t>
            </w:r>
            <w:r>
              <w:t xml:space="preserve">, commonly placed in high-five-to-six-figure annual range by Forrester / Gartner evaluations.</w:t>
            </w:r>
          </w:p>
        </w:tc>
        <w:tc>
          <w:tcPr/>
          <w:p>
            <w:pPr>
              <w:pStyle w:val="Compact"/>
            </w:pPr>
            <w:r>
              <w:t xml:space="preserve">Off-the-shelf TAM data is broad but doesn’t carry CGT-specific filters (modality, clinical phase, separation tech). CARR’s universe is narrower but tagged for purpose.</w:t>
            </w:r>
          </w:p>
        </w:tc>
      </w:tr>
    </w:tbl>
    <w:bookmarkEnd w:id="12"/>
    <w:bookmarkStart w:id="13" w:name="Xb4f12efda80d0c7fed94261daf3e4b6367f04ca"/>
    <w:p>
      <w:pPr>
        <w:pStyle w:val="Heading3"/>
      </w:pPr>
      <w:r>
        <w:t xml:space="preserve">Layer 05 — Account enrichment pipeline (CARR-specific)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What CARR has today</w:t>
            </w:r>
          </w:p>
        </w:tc>
        <w:tc>
          <w:tcPr/>
          <w:p>
            <w:pPr>
              <w:pStyle w:val="Compact"/>
            </w:pPr>
            <w:r>
              <w:t xml:space="preserve">Common alternative(s)</w:t>
            </w:r>
          </w:p>
        </w:tc>
        <w:tc>
          <w:tcPr/>
          <w:p>
            <w:pPr>
              <w:pStyle w:val="Compact"/>
            </w:pPr>
            <w:r>
              <w:t xml:space="preserve">Published / typical cost</w:t>
            </w:r>
          </w:p>
        </w:tc>
        <w:tc>
          <w:tcPr/>
          <w:p>
            <w:pPr>
              <w:pStyle w:val="Compact"/>
            </w:pPr>
            <w:r>
              <w:t xml:space="preserve">Trade-off</w:t>
            </w:r>
          </w:p>
        </w:tc>
      </w:tr>
      <w:tr>
        <w:tc>
          <w:tcPr/>
          <w:p>
            <w:pPr>
              <w:pStyle w:val="Compact"/>
            </w:pPr>
            <w:r>
              <w:t xml:space="preserve">Hub L2 (22-key) + CARR deep enrichment (centrifuge fit, scale, separation tech) via Firecrawl + Brave + Claude</w:t>
            </w:r>
          </w:p>
        </w:tc>
        <w:tc>
          <w:tcPr/>
          <w:p>
            <w:pPr>
              <w:pStyle w:val="Compact"/>
            </w:pPr>
            <w:r>
              <w:t xml:space="preserve">Apollo / ZoomInfo enrichment (universe-wide) + GlobalData or Citeline (pharma intelligence)</w:t>
            </w:r>
          </w:p>
        </w:tc>
        <w:tc>
          <w:tcPr/>
          <w:p>
            <w:pPr>
              <w:pStyle w:val="Compact"/>
            </w:pPr>
            <w:r>
              <w:t xml:space="preserve">Apollo/ZoomInfo enrichment is part of their seat licenses. GlobalData / Citeline Trialtrove are</w:t>
            </w:r>
            <w:r>
              <w:t xml:space="preserve"> </w:t>
            </w:r>
            <w:r>
              <w:rPr>
                <w:b/>
                <w:bCs/>
              </w:rPr>
              <w:t xml:space="preserve">enterprise pharma intelligence subscriptions</w:t>
            </w:r>
            <w:r>
              <w:t xml:space="preserve">, typically five-to-six-figure annual minimums.</w:t>
            </w:r>
          </w:p>
        </w:tc>
        <w:tc>
          <w:tcPr/>
          <w:p>
            <w:pPr>
              <w:pStyle w:val="Compact"/>
            </w:pPr>
            <w:r>
              <w:t xml:space="preserve">The CGT-specific signals (separation tech, manufacturing scale, equipment readiness) aren’t in any off-the-shelf data product.</w:t>
            </w:r>
          </w:p>
        </w:tc>
      </w:tr>
    </w:tbl>
    <w:bookmarkEnd w:id="13"/>
    <w:bookmarkStart w:id="14" w:name="layer-06-contact-discovery"/>
    <w:p>
      <w:pPr>
        <w:pStyle w:val="Heading3"/>
      </w:pPr>
      <w:r>
        <w:t xml:space="preserve">Layer 06 — Contact discovery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What CARR has today</w:t>
            </w:r>
          </w:p>
        </w:tc>
        <w:tc>
          <w:tcPr/>
          <w:p>
            <w:pPr>
              <w:pStyle w:val="Compact"/>
            </w:pPr>
            <w:r>
              <w:t xml:space="preserve">Common alternative(s)</w:t>
            </w:r>
          </w:p>
        </w:tc>
        <w:tc>
          <w:tcPr/>
          <w:p>
            <w:pPr>
              <w:pStyle w:val="Compact"/>
            </w:pPr>
            <w:r>
              <w:t xml:space="preserve">Published / typical cost</w:t>
            </w:r>
          </w:p>
        </w:tc>
        <w:tc>
          <w:tcPr/>
          <w:p>
            <w:pPr>
              <w:pStyle w:val="Compact"/>
            </w:pPr>
            <w:r>
              <w:t xml:space="preserve">Trade-off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104K contacts from PhantomBuster + Sales Nav + Clay Find-People</w:t>
            </w:r>
          </w:p>
        </w:tc>
        <w:tc>
          <w:tcPr/>
          <w:p>
            <w:pPr>
              <w:pStyle w:val="Compact"/>
            </w:pPr>
            <w:r>
              <w:t xml:space="preserve">Apollo / ZoomInfo (built-in contact database)</w:t>
            </w:r>
          </w:p>
        </w:tc>
        <w:tc>
          <w:tcPr/>
          <w:p>
            <w:pPr>
              <w:pStyle w:val="Compact"/>
            </w:pPr>
            <w:r>
              <w:t xml:space="preserve">Apollo published up to</w:t>
            </w:r>
            <w:r>
              <w:t xml:space="preserve"> </w:t>
            </w:r>
            <w:r>
              <w:rPr>
                <w:b/>
                <w:bCs/>
              </w:rPr>
              <w:t xml:space="preserve">$99/user/mo</w:t>
            </w:r>
            <w:r>
              <w:t xml:space="preserve">; ZoomInfo</w:t>
            </w:r>
            <w:r>
              <w:t xml:space="preserve"> </w:t>
            </w:r>
            <w:r>
              <w:rPr>
                <w:b/>
                <w:bCs/>
              </w:rPr>
              <w:t xml:space="preserve">quote-only</w:t>
            </w:r>
            <w:r>
              <w:t xml:space="preserve">. Sales Navigator:</w:t>
            </w:r>
            <w:r>
              <w:t xml:space="preserve"> </w:t>
            </w:r>
            <w:r>
              <w:rPr>
                <w:b/>
                <w:bCs/>
              </w:rPr>
              <w:t xml:space="preserve">$99/user/mo</w:t>
            </w:r>
            <w:r>
              <w:t xml:space="preserve"> </w:t>
            </w:r>
            <w:r>
              <w:t xml:space="preserve">(LinkedIn published). PhantomBuster Pro:</w:t>
            </w:r>
            <w:r>
              <w:t xml:space="preserve"> </w:t>
            </w:r>
            <w:r>
              <w:rPr>
                <w:b/>
                <w:bCs/>
              </w:rPr>
              <w:t xml:space="preserve">$129–$899/mo</w:t>
            </w:r>
            <w:r>
              <w:t xml:space="preserve"> </w:t>
            </w:r>
            <w:r>
              <w:t xml:space="preserve">(public plans).</w:t>
            </w:r>
          </w:p>
        </w:tc>
        <w:tc>
          <w:tcPr/>
          <w:p>
            <w:pPr>
              <w:pStyle w:val="Compact"/>
            </w:pPr>
            <w:r>
              <w:t xml:space="preserve">Off-the-shelf databases are broader but less tunable. CARR’s universe is built around CARR’s account list and refreshes from PhantomBuster on-demand.</w:t>
            </w:r>
          </w:p>
        </w:tc>
      </w:tr>
    </w:tbl>
    <w:bookmarkEnd w:id="14"/>
    <w:bookmarkStart w:id="15" w:name="X29010f39f8adb45155c30e2ce66314eb1042117"/>
    <w:p>
      <w:pPr>
        <w:pStyle w:val="Heading3"/>
      </w:pPr>
      <w:r>
        <w:t xml:space="preserve">Layer 07 — Contact enrichment + persona classification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What CARR has today</w:t>
            </w:r>
          </w:p>
        </w:tc>
        <w:tc>
          <w:tcPr/>
          <w:p>
            <w:pPr>
              <w:pStyle w:val="Compact"/>
            </w:pPr>
            <w:r>
              <w:t xml:space="preserve">Common alternative(s)</w:t>
            </w:r>
          </w:p>
        </w:tc>
        <w:tc>
          <w:tcPr/>
          <w:p>
            <w:pPr>
              <w:pStyle w:val="Compact"/>
            </w:pPr>
            <w:r>
              <w:t xml:space="preserve">Published / typical cost</w:t>
            </w:r>
          </w:p>
        </w:tc>
        <w:tc>
          <w:tcPr/>
          <w:p>
            <w:pPr>
              <w:pStyle w:val="Compact"/>
            </w:pPr>
            <w:r>
              <w:t xml:space="preserve">Trade-off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Clay waterfall enrichment + Claude L2 persona classifier (6 personas, CARR-specific)</w:t>
            </w:r>
          </w:p>
        </w:tc>
        <w:tc>
          <w:tcPr/>
          <w:p>
            <w:pPr>
              <w:pStyle w:val="Compact"/>
            </w:pPr>
            <w:r>
              <w:t xml:space="preserve">Clay alone, Apollo, ZoomInfo, RocketReach + manual segmentation</w:t>
            </w:r>
          </w:p>
        </w:tc>
        <w:tc>
          <w:tcPr/>
          <w:p>
            <w:pPr>
              <w:pStyle w:val="Compact"/>
            </w:pPr>
            <w:r>
              <w:t xml:space="preserve">Clay Pro published</w:t>
            </w:r>
            <w:r>
              <w:t xml:space="preserve"> </w:t>
            </w:r>
            <w:r>
              <w:rPr>
                <w:b/>
                <w:bCs/>
              </w:rPr>
              <w:t xml:space="preserve">$349/mo+</w:t>
            </w:r>
            <w:r>
              <w:t xml:space="preserve">; Clay enterprise</w:t>
            </w:r>
            <w:r>
              <w:t xml:space="preserve"> </w:t>
            </w:r>
            <w:r>
              <w:rPr>
                <w:b/>
                <w:bCs/>
              </w:rPr>
              <w:t xml:space="preserve">quote-only</w:t>
            </w:r>
            <w:r>
              <w:t xml:space="preserve">; per-contact-credit pricing scales with volume. RocketReach team plans</w:t>
            </w:r>
            <w:r>
              <w:t xml:space="preserve"> </w:t>
            </w:r>
            <w:r>
              <w:rPr>
                <w:b/>
                <w:bCs/>
              </w:rPr>
              <w:t xml:space="preserve">$83+/user/mo</w:t>
            </w:r>
            <w:r>
              <w:t xml:space="preserve"> </w:t>
            </w:r>
            <w:r>
              <w:t xml:space="preserve">published.</w:t>
            </w:r>
          </w:p>
        </w:tc>
        <w:tc>
          <w:tcPr/>
          <w:p>
            <w:pPr>
              <w:pStyle w:val="Compact"/>
            </w:pPr>
            <w:r>
              <w:t xml:space="preserve">We use Clay (best email + Linkedin data) for enrichment, then layer CARR-specific persona classification on top. Off-the-shelf Clay is universe-agnostic.</w:t>
            </w:r>
          </w:p>
        </w:tc>
      </w:tr>
    </w:tbl>
    <w:bookmarkEnd w:id="15"/>
    <w:bookmarkStart w:id="16" w:name="Xe642fa53c123f648d84b626676b20a6c3e46e7b"/>
    <w:p>
      <w:pPr>
        <w:pStyle w:val="Heading3"/>
      </w:pPr>
      <w:r>
        <w:t xml:space="preserve">Layer 08 — Message generation (SSO matrix engine)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What CARR has today</w:t>
            </w:r>
          </w:p>
        </w:tc>
        <w:tc>
          <w:tcPr/>
          <w:p>
            <w:pPr>
              <w:pStyle w:val="Compact"/>
            </w:pPr>
            <w:r>
              <w:t xml:space="preserve">Common alternative(s)</w:t>
            </w:r>
          </w:p>
        </w:tc>
        <w:tc>
          <w:tcPr/>
          <w:p>
            <w:pPr>
              <w:pStyle w:val="Compact"/>
            </w:pPr>
            <w:r>
              <w:t xml:space="preserve">Published / typical cost</w:t>
            </w:r>
          </w:p>
        </w:tc>
        <w:tc>
          <w:tcPr/>
          <w:p>
            <w:pPr>
              <w:pStyle w:val="Compact"/>
            </w:pPr>
            <w:r>
              <w:t xml:space="preserve">Trade-off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11-section prompt assembly + 38-row SSO matrix + writing-rules guardrail + account-signals injection + Claude Sonnet 4</w:t>
            </w:r>
          </w:p>
        </w:tc>
        <w:tc>
          <w:tcPr/>
          <w:p>
            <w:pPr>
              <w:pStyle w:val="Compact"/>
            </w:pPr>
            <w:r>
              <w:t xml:space="preserve">Lavender, Regie.ai, Twain (general LLM email assistants)</w:t>
            </w:r>
          </w:p>
        </w:tc>
        <w:tc>
          <w:tcPr/>
          <w:p>
            <w:pPr>
              <w:pStyle w:val="Compact"/>
            </w:pPr>
            <w:r>
              <w:t xml:space="preserve">Lavender Pro:</w:t>
            </w:r>
            <w:r>
              <w:t xml:space="preserve"> </w:t>
            </w:r>
            <w:r>
              <w:rPr>
                <w:b/>
                <w:bCs/>
              </w:rPr>
              <w:t xml:space="preserve">$29/user/mo</w:t>
            </w:r>
            <w:r>
              <w:t xml:space="preserve"> </w:t>
            </w:r>
            <w:r>
              <w:t xml:space="preserve">published. Regie.ai:</w:t>
            </w:r>
            <w:r>
              <w:t xml:space="preserve"> </w:t>
            </w:r>
            <w:r>
              <w:rPr>
                <w:b/>
                <w:bCs/>
              </w:rPr>
              <w:t xml:space="preserve">quote-only</w:t>
            </w:r>
            <w:r>
              <w:t xml:space="preserve"> </w:t>
            </w:r>
            <w:r>
              <w:t xml:space="preserve">team plans.</w:t>
            </w:r>
          </w:p>
        </w:tc>
        <w:tc>
          <w:tcPr/>
          <w:p>
            <w:pPr>
              <w:pStyle w:val="Compact"/>
            </w:pPr>
            <w:r>
              <w:t xml:space="preserve">Off-the-shelf tools produce generic best-practice email. CARR’s outputs reference real products, pain points, account signals, and respect tone rules per sender.</w:t>
            </w:r>
          </w:p>
        </w:tc>
      </w:tr>
    </w:tbl>
    <w:bookmarkEnd w:id="16"/>
    <w:bookmarkStart w:id="17" w:name="layer-09-live-intelligence-apis"/>
    <w:p>
      <w:pPr>
        <w:pStyle w:val="Heading3"/>
      </w:pPr>
      <w:r>
        <w:t xml:space="preserve">Layer 09 — Live intelligence APIs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What CARR has today</w:t>
            </w:r>
          </w:p>
        </w:tc>
        <w:tc>
          <w:tcPr/>
          <w:p>
            <w:pPr>
              <w:pStyle w:val="Compact"/>
            </w:pPr>
            <w:r>
              <w:t xml:space="preserve">Common alternative(s)</w:t>
            </w:r>
          </w:p>
        </w:tc>
        <w:tc>
          <w:tcPr/>
          <w:p>
            <w:pPr>
              <w:pStyle w:val="Compact"/>
            </w:pPr>
            <w:r>
              <w:t xml:space="preserve">Published / typical cost</w:t>
            </w:r>
          </w:p>
        </w:tc>
        <w:tc>
          <w:tcPr/>
          <w:p>
            <w:pPr>
              <w:pStyle w:val="Compact"/>
            </w:pPr>
            <w:r>
              <w:t xml:space="preserve">Trade-off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News (every 4h) + clinical trials + NIH grants + SEC + patents — all matched to CARR accounts and injected into outreach</w:t>
            </w:r>
          </w:p>
        </w:tc>
        <w:tc>
          <w:tcPr/>
          <w:p>
            <w:pPr>
              <w:pStyle w:val="Compact"/>
            </w:pPr>
            <w:r>
              <w:t xml:space="preserve">Owler + Crunchbase Pro + Citeline + manual matching</w:t>
            </w:r>
          </w:p>
        </w:tc>
        <w:tc>
          <w:tcPr/>
          <w:p>
            <w:pPr>
              <w:pStyle w:val="Compact"/>
            </w:pPr>
            <w:r>
              <w:t xml:space="preserve">Owler Pro:</w:t>
            </w:r>
            <w:r>
              <w:t xml:space="preserve"> </w:t>
            </w:r>
            <w:r>
              <w:rPr>
                <w:b/>
                <w:bCs/>
              </w:rPr>
              <w:t xml:space="preserve">~$420/yr per user</w:t>
            </w:r>
            <w:r>
              <w:t xml:space="preserve"> </w:t>
            </w:r>
            <w:r>
              <w:t xml:space="preserve">(public). Crunchbase Pro:</w:t>
            </w:r>
            <w:r>
              <w:t xml:space="preserve"> </w:t>
            </w:r>
            <w:r>
              <w:rPr>
                <w:b/>
                <w:bCs/>
              </w:rPr>
              <w:t xml:space="preserve">$49/user/mo</w:t>
            </w:r>
            <w:r>
              <w:t xml:space="preserve"> </w:t>
            </w:r>
            <w:r>
              <w:t xml:space="preserve">(public). Citeline Trialtrove:</w:t>
            </w:r>
            <w:r>
              <w:t xml:space="preserve"> </w:t>
            </w:r>
            <w:r>
              <w:rPr>
                <w:b/>
                <w:bCs/>
              </w:rPr>
              <w:t xml:space="preserve">enterprise, quote-only</w:t>
            </w:r>
            <w:r>
              <w:t xml:space="preserve">. Assembled stack: easily</w:t>
            </w:r>
            <w:r>
              <w:t xml:space="preserve"> </w:t>
            </w:r>
            <w:r>
              <w:rPr>
                <w:b/>
                <w:bCs/>
              </w:rPr>
              <w:t xml:space="preserve">$10K+/yr</w:t>
            </w:r>
            <w:r>
              <w:t xml:space="preserve"> </w:t>
            </w:r>
            <w:r>
              <w:t xml:space="preserve">in tool licenses before integration.</w:t>
            </w:r>
          </w:p>
        </w:tc>
        <w:tc>
          <w:tcPr/>
          <w:p>
            <w:pPr>
              <w:pStyle w:val="Compact"/>
            </w:pPr>
            <w:r>
              <w:t xml:space="preserve">Most teams use these as dashboards humans read. CARR’s stack injects directly into AI message generation.</w:t>
            </w:r>
          </w:p>
        </w:tc>
      </w:tr>
    </w:tbl>
    <w:bookmarkEnd w:id="17"/>
    <w:bookmarkStart w:id="18" w:name="layer-10-outreach-infrastructure"/>
    <w:p>
      <w:pPr>
        <w:pStyle w:val="Heading3"/>
      </w:pPr>
      <w:r>
        <w:t xml:space="preserve">Layer 10 — Outreach infrastructure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What CARR has today</w:t>
            </w:r>
          </w:p>
        </w:tc>
        <w:tc>
          <w:tcPr/>
          <w:p>
            <w:pPr>
              <w:pStyle w:val="Compact"/>
            </w:pPr>
            <w:r>
              <w:t xml:space="preserve">Common alternative(s)</w:t>
            </w:r>
          </w:p>
        </w:tc>
        <w:tc>
          <w:tcPr/>
          <w:p>
            <w:pPr>
              <w:pStyle w:val="Compact"/>
            </w:pPr>
            <w:r>
              <w:t xml:space="preserve">Published / typical cost</w:t>
            </w:r>
          </w:p>
        </w:tc>
        <w:tc>
          <w:tcPr/>
          <w:p>
            <w:pPr>
              <w:pStyle w:val="Compact"/>
            </w:pPr>
            <w:r>
              <w:t xml:space="preserve">Trade-off</w:t>
            </w:r>
          </w:p>
        </w:tc>
      </w:tr>
      <w:tr>
        <w:tc>
          <w:tcPr/>
          <w:p>
            <w:pPr>
              <w:pStyle w:val="Compact"/>
            </w:pPr>
            <w:r>
              <w:t xml:space="preserve">3 warmed domains, 5 mailboxes warmed 10+ wks, EmailBison self-hosted, 5 HeyReach seats, full webhook + reply pipelines</w:t>
            </w:r>
          </w:p>
        </w:tc>
        <w:tc>
          <w:tcPr/>
          <w:p>
            <w:pPr>
              <w:pStyle w:val="Compact"/>
            </w:pPr>
            <w:r>
              <w:t xml:space="preserve">Mailforge + Smartlead + HeyReach/Expandi + custom dev</w:t>
            </w:r>
          </w:p>
        </w:tc>
        <w:tc>
          <w:tcPr/>
          <w:p>
            <w:pPr>
              <w:pStyle w:val="Compact"/>
            </w:pPr>
            <w:r>
              <w:t xml:space="preserve">Mailforge:</w:t>
            </w:r>
            <w:r>
              <w:t xml:space="preserve"> </w:t>
            </w:r>
            <w:r>
              <w:rPr>
                <w:b/>
                <w:bCs/>
              </w:rPr>
              <w:t xml:space="preserve">~$0.50/mailbox/mo</w:t>
            </w:r>
            <w:r>
              <w:t xml:space="preserve"> </w:t>
            </w:r>
            <w:r>
              <w:t xml:space="preserve">public. Smartlead:</w:t>
            </w:r>
            <w:r>
              <w:t xml:space="preserve"> </w:t>
            </w:r>
            <w:r>
              <w:rPr>
                <w:b/>
                <w:bCs/>
              </w:rPr>
              <w:t xml:space="preserve">$39+/mo</w:t>
            </w:r>
            <w:r>
              <w:t xml:space="preserve"> </w:t>
            </w:r>
            <w:r>
              <w:t xml:space="preserve">(public). HeyReach:</w:t>
            </w:r>
            <w:r>
              <w:t xml:space="preserve"> </w:t>
            </w:r>
            <w:r>
              <w:rPr>
                <w:b/>
                <w:bCs/>
              </w:rPr>
              <w:t xml:space="preserve">$79+/seat/mo</w:t>
            </w:r>
            <w:r>
              <w:t xml:space="preserve"> </w:t>
            </w:r>
            <w:r>
              <w:t xml:space="preserve">(public). Expandi:</w:t>
            </w:r>
            <w:r>
              <w:t xml:space="preserve"> </w:t>
            </w:r>
            <w:r>
              <w:rPr>
                <w:b/>
                <w:bCs/>
              </w:rPr>
              <w:t xml:space="preserve">$99/seat/mo</w:t>
            </w:r>
            <w:r>
              <w:t xml:space="preserve"> </w:t>
            </w:r>
            <w:r>
              <w:t xml:space="preserve">(public). Combined for CARR-equivalent setup:</w:t>
            </w:r>
            <w:r>
              <w:t xml:space="preserve"> </w:t>
            </w:r>
            <w:r>
              <w:rPr>
                <w:b/>
                <w:bCs/>
              </w:rPr>
              <w:t xml:space="preserve">~$400–$900/mo</w:t>
            </w:r>
            <w:r>
              <w:t xml:space="preserve"> </w:t>
            </w:r>
            <w:r>
              <w:t xml:space="preserve">in software alone, plus 8–12 weeks of warming.</w:t>
            </w:r>
          </w:p>
        </w:tc>
        <w:tc>
          <w:tcPr/>
          <w:p>
            <w:pPr>
              <w:pStyle w:val="Compact"/>
            </w:pPr>
            <w:r>
              <w:t xml:space="preserve">The 10+ weeks of warmed reputation is the largest sunk cost — it doesn’t transfer to new domains.</w:t>
            </w:r>
          </w:p>
        </w:tc>
      </w:tr>
    </w:tbl>
    <w:bookmarkEnd w:id="18"/>
    <w:bookmarkStart w:id="19" w:name="layer-11-supporting-assets-custom-code"/>
    <w:p>
      <w:pPr>
        <w:pStyle w:val="Heading3"/>
      </w:pPr>
      <w:r>
        <w:t xml:space="preserve">Layer 11 — Supporting assets + custom code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What CARR has today</w:t>
            </w:r>
          </w:p>
        </w:tc>
        <w:tc>
          <w:tcPr/>
          <w:p>
            <w:pPr>
              <w:pStyle w:val="Compact"/>
            </w:pPr>
            <w:r>
              <w:t xml:space="preserve">Common alternative(s)</w:t>
            </w:r>
          </w:p>
        </w:tc>
        <w:tc>
          <w:tcPr/>
          <w:p>
            <w:pPr>
              <w:pStyle w:val="Compact"/>
            </w:pPr>
            <w:r>
              <w:t xml:space="preserve">Published / typical cost</w:t>
            </w:r>
          </w:p>
        </w:tc>
        <w:tc>
          <w:tcPr/>
          <w:p>
            <w:pPr>
              <w:pStyle w:val="Compact"/>
            </w:pPr>
            <w:r>
              <w:t xml:space="preserve">Trade-off</w:t>
            </w:r>
          </w:p>
        </w:tc>
      </w:tr>
      <w:tr>
        <w:tc>
          <w:tcPr/>
          <w:p>
            <w:pPr>
              <w:pStyle w:val="Compact"/>
            </w:pPr>
            <w:r>
              <w:t xml:space="preserve">80+ Python/SQL scripts, 18 EFs, 446 migrations, 14 skills, 10 context docs, 7 runbooks, 3 landing pages</w:t>
            </w:r>
          </w:p>
        </w:tc>
        <w:tc>
          <w:tcPr/>
          <w:p>
            <w:pPr>
              <w:pStyle w:val="Compact"/>
            </w:pPr>
            <w:r>
              <w:t xml:space="preserve">Engineering retainer or in-house data engineer + Webflow / dev shop for landing pages</w:t>
            </w:r>
          </w:p>
        </w:tc>
        <w:tc>
          <w:tcPr/>
          <w:p>
            <w:pPr>
              <w:pStyle w:val="Compact"/>
            </w:pPr>
            <w:r>
              <w:t xml:space="preserve">Loaded full-time data engineer:</w:t>
            </w:r>
            <w:r>
              <w:t xml:space="preserve"> </w:t>
            </w:r>
            <w:r>
              <w:rPr>
                <w:b/>
                <w:bCs/>
              </w:rPr>
              <w:t xml:space="preserve">well into six figures annually</w:t>
            </w:r>
            <w:r>
              <w:t xml:space="preserve"> </w:t>
            </w:r>
            <w:r>
              <w:t xml:space="preserve">at fully-burdened cost. Dev-shop landing page:</w:t>
            </w:r>
            <w:r>
              <w:t xml:space="preserve"> </w:t>
            </w:r>
            <w:r>
              <w:rPr>
                <w:b/>
                <w:bCs/>
              </w:rPr>
              <w:t xml:space="preserve">$3K–$15K each</w:t>
            </w:r>
            <w:r>
              <w:t xml:space="preserve">. Webflow team:</w:t>
            </w:r>
            <w:r>
              <w:t xml:space="preserve"> </w:t>
            </w:r>
            <w:r>
              <w:rPr>
                <w:b/>
                <w:bCs/>
              </w:rPr>
              <w:t xml:space="preserve">$35+/mo</w:t>
            </w:r>
            <w:r>
              <w:t xml:space="preserve"> </w:t>
            </w:r>
            <w:r>
              <w:t xml:space="preserve">(public).</w:t>
            </w:r>
          </w:p>
        </w:tc>
        <w:tc>
          <w:tcPr/>
          <w:p>
            <w:pPr>
              <w:pStyle w:val="Compact"/>
            </w:pPr>
            <w:r>
              <w:t xml:space="preserve">Custom code is portable and reproducible from the repo; the alternative is per-feature engineering cost.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9"/>
    <w:bookmarkEnd w:id="20"/>
    <w:bookmarkStart w:id="21" w:name="stacked-together-directional-reference"/>
    <w:p>
      <w:pPr>
        <w:pStyle w:val="Heading2"/>
      </w:pPr>
      <w:r>
        <w:t xml:space="preserve">Stacked together — directional reference</w:t>
      </w:r>
    </w:p>
    <w:p>
      <w:pPr>
        <w:pStyle w:val="FirstParagraph"/>
      </w:pPr>
      <w:r>
        <w:t xml:space="preserve">This is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a like-for-like comparison or a quote. It’s a directional reference for what assembling the equivalent stack at retail prices would look like if a B2B team built it themselves with off-the-shelf tools: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Bucket</w:t>
            </w:r>
          </w:p>
        </w:tc>
        <w:tc>
          <w:tcPr/>
          <w:p>
            <w:pPr>
              <w:pStyle w:val="Compact"/>
            </w:pPr>
            <w:r>
              <w:t xml:space="preserve">Likely commercial stack</w:t>
            </w:r>
          </w:p>
        </w:tc>
        <w:tc>
          <w:tcPr/>
          <w:p>
            <w:pPr>
              <w:pStyle w:val="Compact"/>
            </w:pPr>
            <w:r>
              <w:t xml:space="preserve">Directional annual range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Brand + positioning + messaging</w:t>
            </w:r>
          </w:p>
        </w:tc>
        <w:tc>
          <w:tcPr/>
          <w:p>
            <w:pPr>
              <w:pStyle w:val="Compact"/>
            </w:pPr>
            <w:r>
              <w:t xml:space="preserve">Strategy firm engagement + sales enablement platform</w:t>
            </w:r>
          </w:p>
        </w:tc>
        <w:tc>
          <w:tcPr/>
          <w:p>
            <w:pPr>
              <w:pStyle w:val="Compact"/>
            </w:pPr>
            <w:r>
              <w:t xml:space="preserve">$30K–$100K+ (1-time strategy) + $30K–$75K/yr ongoing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TAM + ABM scoring</w:t>
            </w:r>
          </w:p>
        </w:tc>
        <w:tc>
          <w:tcPr/>
          <w:p>
            <w:pPr>
              <w:pStyle w:val="Compact"/>
            </w:pPr>
            <w:r>
              <w:t xml:space="preserve">ZoomInfo Advanced + 6sense or Demandbase</w:t>
            </w:r>
          </w:p>
        </w:tc>
        <w:tc>
          <w:tcPr/>
          <w:p>
            <w:pPr>
              <w:pStyle w:val="Compact"/>
            </w:pPr>
            <w:r>
              <w:t xml:space="preserve">Quote-only, commonly cited five-to-six-figure annual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Account / contact enrichment</w:t>
            </w:r>
          </w:p>
        </w:tc>
        <w:tc>
          <w:tcPr/>
          <w:p>
            <w:pPr>
              <w:pStyle w:val="Compact"/>
            </w:pPr>
            <w:r>
              <w:t xml:space="preserve">Apollo Pro + Clay Pro + RocketReach (or replacement)</w:t>
            </w:r>
          </w:p>
        </w:tc>
        <w:tc>
          <w:tcPr/>
          <w:p>
            <w:pPr>
              <w:pStyle w:val="Compact"/>
            </w:pPr>
            <w:r>
              <w:t xml:space="preserve">Apollo per seat + Clay $349+/mo + RocketReach $83+/user/mo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Intelligence (news / trials / social)</w:t>
            </w:r>
          </w:p>
        </w:tc>
        <w:tc>
          <w:tcPr/>
          <w:p>
            <w:pPr>
              <w:pStyle w:val="Compact"/>
            </w:pPr>
            <w:r>
              <w:t xml:space="preserve">Owler + Crunchbase Pro + Sprout Social + Citeline</w:t>
            </w:r>
          </w:p>
        </w:tc>
        <w:tc>
          <w:tcPr/>
          <w:p>
            <w:pPr>
              <w:pStyle w:val="Compact"/>
            </w:pPr>
            <w:r>
              <w:t xml:space="preserve">Owler $420/user/yr + Crunchbase $49/user/mo + Sprout $399/user/mo + Citeline (quote-only)</w:t>
            </w:r>
          </w:p>
        </w:tc>
      </w:tr>
      <w:tr>
        <w:tc>
          <w:tcPr/>
          <w:p>
            <w:pPr>
              <w:pStyle w:val="Compact"/>
            </w:pPr>
            <w:r>
              <w:t xml:space="preserve">Outreach platform</w:t>
            </w:r>
          </w:p>
        </w:tc>
        <w:tc>
          <w:tcPr/>
          <w:p>
            <w:pPr>
              <w:pStyle w:val="Compact"/>
            </w:pPr>
            <w:r>
              <w:t xml:space="preserve">Smartlead + HeyReach + Mailforge</w:t>
            </w:r>
          </w:p>
        </w:tc>
        <w:tc>
          <w:tcPr/>
          <w:p>
            <w:pPr>
              <w:pStyle w:val="Compact"/>
            </w:pPr>
            <w:r>
              <w:t xml:space="preserve">$400–$900/mo software (3 domains, 5 LinkedIn seats) + 10+ wk warming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 message generation</w:t>
            </w:r>
          </w:p>
        </w:tc>
        <w:tc>
          <w:tcPr/>
          <w:p>
            <w:pPr>
              <w:pStyle w:val="Compact"/>
            </w:pPr>
            <w:r>
              <w:t xml:space="preserve">Lavender Pro + Anthropic / OpenAI usage</w:t>
            </w:r>
          </w:p>
        </w:tc>
        <w:tc>
          <w:tcPr/>
          <w:p>
            <w:pPr>
              <w:pStyle w:val="Compact"/>
            </w:pPr>
            <w:r>
              <w:t xml:space="preserve">$29/user/mo + per-token API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Engineering / integration</w:t>
            </w:r>
          </w:p>
        </w:tc>
        <w:tc>
          <w:tcPr/>
          <w:p>
            <w:pPr>
              <w:pStyle w:val="Compact"/>
            </w:pPr>
            <w:r>
              <w:t xml:space="preserve">Full-time data engineer or retainer</w:t>
            </w:r>
          </w:p>
        </w:tc>
        <w:tc>
          <w:tcPr/>
          <w:p>
            <w:pPr>
              <w:pStyle w:val="Compact"/>
            </w:pPr>
            <w:r>
              <w:t xml:space="preserve">Loaded six figures annually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 landing pages</w:t>
            </w:r>
          </w:p>
        </w:tc>
        <w:tc>
          <w:tcPr/>
          <w:p>
            <w:pPr>
              <w:pStyle w:val="Compact"/>
            </w:pPr>
            <w:r>
              <w:t xml:space="preserve">Dev shop or Webflow + designer</w:t>
            </w:r>
          </w:p>
        </w:tc>
        <w:tc>
          <w:tcPr/>
          <w:p>
            <w:pPr>
              <w:pStyle w:val="Compact"/>
            </w:pPr>
            <w:r>
              <w:t xml:space="preserve">$3K–$15K/page or $35+/mo platform</w:t>
            </w:r>
          </w:p>
        </w:tc>
      </w:tr>
    </w:tbl>
    <w:p>
      <w:pPr>
        <w:pStyle w:val="BodyText"/>
      </w:pPr>
      <w:r>
        <w:t xml:space="preserve">The point of this list is not to say</w:t>
      </w:r>
      <w:r>
        <w:t xml:space="preserve"> </w:t>
      </w:r>
      <w:r>
        <w:rPr>
          <w:i/>
          <w:iCs/>
        </w:rPr>
        <w:t xml:space="preserve">this is cheaper than that</w:t>
      </w:r>
      <w:r>
        <w:t xml:space="preserve">. The point is</w:t>
      </w:r>
      <w:r>
        <w:t xml:space="preserve"> </w:t>
      </w:r>
      <w:r>
        <w:rPr>
          <w:b/>
          <w:bCs/>
        </w:rPr>
        <w:t xml:space="preserve">the equivalent stack is real, the components are nameable, the costs are knowable, and the tradeoffs are visible.</w:t>
      </w:r>
      <w:r>
        <w:t xml:space="preserve"> </w:t>
      </w:r>
      <w:r>
        <w:t xml:space="preserve">CARR’s investment in this engagement has produced an assembled stack with:</w:t>
      </w:r>
    </w:p>
    <w:p>
      <w:pPr>
        <w:pStyle w:val="Compact"/>
        <w:numPr>
          <w:ilvl w:val="0"/>
          <w:numId w:val="1002"/>
        </w:numPr>
      </w:pPr>
      <w:r>
        <w:t xml:space="preserve">Data + logic that lives in CARR’s own database</w:t>
      </w:r>
    </w:p>
    <w:p>
      <w:pPr>
        <w:pStyle w:val="Compact"/>
        <w:numPr>
          <w:ilvl w:val="0"/>
          <w:numId w:val="1002"/>
        </w:numPr>
      </w:pPr>
      <w:r>
        <w:t xml:space="preserve">No per-seat or per-credit lock-in to external platforms beyond the explicit ones (Clay, HeyReach, EmailBison)</w:t>
      </w:r>
    </w:p>
    <w:p>
      <w:pPr>
        <w:pStyle w:val="Compact"/>
        <w:numPr>
          <w:ilvl w:val="0"/>
          <w:numId w:val="1002"/>
        </w:numPr>
      </w:pPr>
      <w:r>
        <w:t xml:space="preserve">A documented, reproducible system that the CARR team can pick up and extend</w:t>
      </w:r>
    </w:p>
    <w:p>
      <w:pPr>
        <w:pStyle w:val="FirstParagraph"/>
      </w:pPr>
      <w:r>
        <w:t xml:space="preserve">When CARR (or BW IT, or anyone) chooses what to do with this going forward — keep operating it as-is, migrate to Azure as discussed with John Katsapis, layer in additional commercial tools, or transition pieces to internal teams — knowing what each layer costs to replace at retail is the reference for that decision.</w:t>
      </w:r>
    </w:p>
    <w:p>
      <w:r>
        <w:pict>
          <v:rect style="width:0;height:1.5pt" o:hralign="center" o:hrstd="t" o:hr="t"/>
        </w:pict>
      </w:r>
    </w:p>
    <w:bookmarkEnd w:id="21"/>
    <w:bookmarkStart w:id="22" w:name="X5a19e7606ad53fd1f2715e34d4b5d6bce5a2911"/>
    <w:p>
      <w:pPr>
        <w:pStyle w:val="Heading2"/>
      </w:pPr>
      <w:r>
        <w:t xml:space="preserve">What’s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in this comparison (intentionally)</w:t>
      </w:r>
    </w:p>
    <w:p>
      <w:pPr>
        <w:pStyle w:val="Compact"/>
        <w:numPr>
          <w:ilvl w:val="0"/>
          <w:numId w:val="1003"/>
        </w:numPr>
      </w:pPr>
      <w:r>
        <w:t xml:space="preserve">Hours spent — both BioCreative’s and CARR’s team’s. This isn’t a value-of-time argument.</w:t>
      </w:r>
    </w:p>
    <w:p>
      <w:pPr>
        <w:pStyle w:val="Compact"/>
        <w:numPr>
          <w:ilvl w:val="0"/>
          <w:numId w:val="1003"/>
        </w:numPr>
      </w:pPr>
      <w:r>
        <w:t xml:space="preserve">Per-meeting / per-deliverable retainer breakdowns. The SOW already documents that.</w:t>
      </w:r>
    </w:p>
    <w:p>
      <w:pPr>
        <w:pStyle w:val="Compact"/>
        <w:numPr>
          <w:ilvl w:val="0"/>
          <w:numId w:val="1003"/>
        </w:numPr>
      </w:pPr>
      <w:r>
        <w:t xml:space="preserve">Future-state pricing for any continuation tier. That’s a separate conversation.</w:t>
      </w:r>
    </w:p>
    <w:p>
      <w:pPr>
        <w:pStyle w:val="Compact"/>
        <w:numPr>
          <w:ilvl w:val="0"/>
          <w:numId w:val="1003"/>
        </w:numPr>
      </w:pPr>
      <w:r>
        <w:t xml:space="preserve">Subjective quality comparisons. The point of this layer is to show that what was built has off-the-shelf analogs, and what those analogs cost — not to argue one is</w:t>
      </w:r>
      <w:r>
        <w:t xml:space="preserve"> </w:t>
      </w:r>
      <w:r>
        <w:t xml:space="preserve">“better.”</w:t>
      </w:r>
    </w:p>
    <w:p>
      <w:r>
        <w:pict>
          <v:rect style="width:0;height:1.5pt" o:hralign="center" o:hrstd="t" o:hr="t"/>
        </w:pict>
      </w:r>
    </w:p>
    <w:bookmarkEnd w:id="22"/>
    <w:bookmarkStart w:id="23" w:name="cross-references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004"/>
        </w:numPr>
      </w:pPr>
      <w:r>
        <w:t xml:space="preserve">All citation sources:</w:t>
      </w:r>
      <w:r>
        <w:t xml:space="preserve"> </w:t>
      </w:r>
      <w:r>
        <w:rPr>
          <w:rStyle w:val="VerbatimChar"/>
        </w:rPr>
        <w:t xml:space="preserve">_appendix_citations.md</w:t>
      </w:r>
    </w:p>
    <w:p>
      <w:pPr>
        <w:pStyle w:val="Compact"/>
        <w:numPr>
          <w:ilvl w:val="0"/>
          <w:numId w:val="1004"/>
        </w:numPr>
      </w:pPr>
      <w:r>
        <w:t xml:space="preserve">Forward options:</w:t>
      </w:r>
      <w:r>
        <w:t xml:space="preserve"> </w:t>
      </w:r>
      <w:r>
        <w:rPr>
          <w:rStyle w:val="VerbatimChar"/>
        </w:rPr>
        <w:t xml:space="preserve">docs/CARR_MONTH_FOUR_PLUS_ROADMAP.md</w:t>
      </w:r>
      <w:r>
        <w:t xml:space="preserve"> </w:t>
      </w:r>
      <w:r>
        <w:t xml:space="preserve">(3 options at end of initial term)</w:t>
      </w:r>
    </w:p>
    <w:p>
      <w:pPr>
        <w:pStyle w:val="Compact"/>
        <w:numPr>
          <w:ilvl w:val="0"/>
          <w:numId w:val="1004"/>
        </w:numPr>
      </w:pPr>
      <w:r>
        <w:t xml:space="preserve">Continuation analysis:</w:t>
      </w:r>
      <w:r>
        <w:t xml:space="preserve"> </w:t>
      </w:r>
      <w:r>
        <w:rPr>
          <w:rStyle w:val="VerbatimChar"/>
        </w:rPr>
        <w:t xml:space="preserve">clients/CARR_Biosystems/CARR_SOW_CONTINUATION_ANALYSIS.md</w:t>
      </w:r>
      <w:r>
        <w:t xml:space="preserve"> </w:t>
      </w:r>
      <w:r>
        <w:t xml:space="preserve">(in Hub repo)</w:t>
      </w:r>
    </w:p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Alternative Cost Reference</dc:title>
  <dc:creator>BioCreative Strategies; Prepared for CARR Biosystems (Barry-Wehmiller)</dc:creator>
  <cp:keywords/>
  <dcterms:created xsi:type="dcterms:W3CDTF">2026-07-22T01:52:23Z</dcterms:created>
  <dcterms:modified xsi:type="dcterms:W3CDTF">2026-07-22T01:52:23Z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July 21, 2026</vt:lpwstr>
  </property>
</Properties>
</file>