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Engine Reanalysis (PG vs Azure SQL)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7" w:name="postgres-vs-azure-sql-full-reanalysis"/>
    <w:p>
      <w:pPr>
        <w:pStyle w:val="Heading1"/>
      </w:pPr>
      <w:r>
        <w:t xml:space="preserve">13 — Postgres vs Azure SQL: Full Reanalysis</w:t>
      </w:r>
    </w:p>
    <w:p>
      <w:pPr>
        <w:pStyle w:val="BlockText"/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“now that we understand the Azure SQL path, is the engine choice still right?”</w:t>
      </w:r>
      <w:r>
        <w:rPr>
          <w:b/>
          <w:bCs/>
        </w:rPr>
        <w:t xml:space="preserve"> </w:t>
      </w:r>
      <w:r>
        <w:rPr>
          <w:b/>
          <w:bCs/>
        </w:rPr>
        <w:t xml:space="preserve">doc.</w:t>
      </w:r>
      <w:r>
        <w:t xml:space="preserve"> </w:t>
      </w:r>
      <w:r>
        <w:t xml:space="preserve">On 6/17 BW locked</w:t>
      </w:r>
      <w:r>
        <w:t xml:space="preserve"> </w:t>
      </w:r>
      <w:r>
        <w:rPr>
          <w:b/>
          <w:bCs/>
        </w:rPr>
        <w:t xml:space="preserve">Azure SQL</w:t>
      </w:r>
      <w:r>
        <w:t xml:space="preserve"> </w:t>
      </w:r>
      <w:r>
        <w:t xml:space="preserve">over the</w:t>
      </w:r>
      <w:r>
        <w:t xml:space="preserve"> </w:t>
      </w:r>
      <w:r>
        <w:rPr>
          <w:b/>
          <w:bCs/>
        </w:rPr>
        <w:t xml:space="preserve">managed-Postgres</w:t>
      </w:r>
      <w:r>
        <w:t xml:space="preserve"> </w:t>
      </w:r>
      <w:r>
        <w:t xml:space="preserve">recommendation (</w:t>
      </w:r>
      <w:r>
        <w:rPr>
          <w:rStyle w:val="VerbatimChar"/>
        </w:rPr>
        <w:t xml:space="preserve">01</w:t>
      </w:r>
      <w:r>
        <w:t xml:space="preserve">). We’ve since fully scoped the Azure SQL path — the conversion runbook (</w:t>
      </w:r>
      <w:r>
        <w:rPr>
          <w:rStyle w:val="VerbatimChar"/>
        </w:rPr>
        <w:t xml:space="preserve">07</w:t>
      </w:r>
      <w:r>
        <w:t xml:space="preserve">) and the pre-trained-knowledge probe (</w:t>
      </w:r>
      <w:r>
        <w:rPr>
          <w:rStyle w:val="VerbatimChar"/>
        </w:rPr>
        <w:t xml:space="preserve">10</w:t>
      </w:r>
      <w:r>
        <w:t xml:space="preserve">). This doc revisits the decision</w:t>
      </w:r>
      <w:r>
        <w:t xml:space="preserve"> </w:t>
      </w:r>
      <w:r>
        <w:rPr>
          <w:b/>
          <w:bCs/>
        </w:rPr>
        <w:t xml:space="preserve">with that new information</w:t>
      </w:r>
      <w:r>
        <w:t xml:space="preserve">: balanced pros/cons of each engine, what actually changed, and an updated recommendation.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“postgres vs azure sql reanalysis”</w:t>
      </w:r>
      <w:r>
        <w:t xml:space="preserve">,</w:t>
      </w:r>
      <w:r>
        <w:t xml:space="preserve"> </w:t>
      </w:r>
      <w:r>
        <w:t xml:space="preserve">“should we keep postgres”</w:t>
      </w:r>
      <w:r>
        <w:t xml:space="preserve">,</w:t>
      </w:r>
      <w:r>
        <w:t xml:space="preserve"> </w:t>
      </w:r>
      <w:r>
        <w:t xml:space="preserve">“revisit the database decision”</w:t>
      </w:r>
      <w:r>
        <w:t xml:space="preserve">,</w:t>
      </w:r>
      <w:r>
        <w:t xml:space="preserve"> </w:t>
      </w:r>
      <w:r>
        <w:t xml:space="preserve">“azure sql vs postgres pros cons”</w:t>
      </w:r>
      <w:r>
        <w:t xml:space="preserve">,</w:t>
      </w:r>
      <w:r>
        <w:t xml:space="preserve"> </w:t>
      </w:r>
      <w:r>
        <w:t xml:space="preserve">“updated db recommendation”</w:t>
      </w:r>
      <w:r>
        <w:t xml:space="preserve">.</w:t>
      </w:r>
      <w:r>
        <w:t xml:space="preserve"> </w:t>
      </w:r>
      <w:r>
        <w:rPr>
          <w:b/>
          <w:bCs/>
        </w:rPr>
        <w:t xml:space="preserve">Reads with:</w:t>
      </w:r>
      <w:r>
        <w:t xml:space="preserve"> </w:t>
      </w:r>
      <w:r>
        <w:rPr>
          <w:rStyle w:val="VerbatimChar"/>
        </w:rPr>
        <w:t xml:space="preserve">01_data_layer.md</w:t>
      </w:r>
      <w:r>
        <w:t xml:space="preserve"> </w:t>
      </w:r>
      <w:r>
        <w:t xml:space="preserve">(the original PG-wins verdict),</w:t>
      </w:r>
      <w:r>
        <w:t xml:space="preserve"> </w:t>
      </w: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(the Azure SQL cost),</w:t>
      </w:r>
      <w:r>
        <w:t xml:space="preserve"> </w:t>
      </w:r>
      <w:r>
        <w:rPr>
          <w:rStyle w:val="VerbatimChar"/>
        </w:rPr>
        <w:t xml:space="preserve">05_carr_migration_map.md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9" w:name="tldr-the-recommendation-up-front"/>
    <w:p>
      <w:pPr>
        <w:pStyle w:val="Heading2"/>
      </w:pPr>
      <w:r>
        <w:t xml:space="preserve">TL;DR — the recommendation, up front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pure technical merits, managed Postgres (Azure Database for PostgreSQL, Flexible Server) is still the better engine for CARR</w:t>
      </w:r>
      <w:r>
        <w:t xml:space="preserve"> </w:t>
      </w:r>
      <w:r>
        <w:t xml:space="preserve">— by a wide margin on the data tier. The full conversion scoping (</w:t>
      </w:r>
      <w:r>
        <w:rPr>
          <w:rStyle w:val="VerbatimChar"/>
        </w:rPr>
        <w:t xml:space="preserve">07</w:t>
      </w:r>
      <w:r>
        <w:t xml:space="preserve">) didn’t overturn that; it</w:t>
      </w:r>
      <w:r>
        <w:t xml:space="preserve"> </w:t>
      </w:r>
      <w:r>
        <w:rPr>
          <w:i/>
          <w:iCs/>
        </w:rPr>
        <w:t xml:space="preserve">quantified</w:t>
      </w:r>
      <w:r>
        <w:t xml:space="preserve"> </w:t>
      </w:r>
      <w:r>
        <w:t xml:space="preserve">it.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decision was never purely technical</w:t>
      </w:r>
      <w:r>
        <w:t xml:space="preserve"> </w:t>
      </w:r>
      <w:r>
        <w:t xml:space="preserve">— BW’s standardization mandate (one DB platform their DBAs support) is a legitimate enterprise driver we don’t control, and it’s already a stated decision.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genuinely changed:</w:t>
      </w:r>
      <w:r>
        <w:t xml:space="preserve"> </w:t>
      </w:r>
      <w:r>
        <w:t xml:space="preserve">we now know the Azure SQL path is</w:t>
      </w:r>
      <w:r>
        <w:t xml:space="preserve"> </w:t>
      </w:r>
      <w:r>
        <w:rPr>
          <w:b/>
          <w:bCs/>
        </w:rPr>
        <w:t xml:space="preserve">expensive but tractable</w:t>
      </w:r>
      <w:r>
        <w:t xml:space="preserve">, not</w:t>
      </w:r>
      <w:r>
        <w:t xml:space="preserve"> </w:t>
      </w:r>
      <w:r>
        <w:t xml:space="preserve">“catastrophic”</w:t>
      </w:r>
      <w:r>
        <w:t xml:space="preserve"> </w:t>
      </w:r>
      <w:r>
        <w:t xml:space="preserve">(</w:t>
      </w:r>
      <w:r>
        <w:rPr>
          <w:rStyle w:val="VerbatimChar"/>
        </w:rPr>
        <w:t xml:space="preserve">01</w:t>
      </w:r>
      <w:r>
        <w:t xml:space="preserve">’s word). Pre-trained model knowledge (</w:t>
      </w:r>
      <w:r>
        <w:rPr>
          <w:rStyle w:val="VerbatimChar"/>
        </w:rPr>
        <w:t xml:space="preserve">10</w:t>
      </w:r>
      <w:r>
        <w:t xml:space="preserve">) +</w:t>
      </w:r>
      <w:r>
        <w:t xml:space="preserve"> </w:t>
      </w:r>
      <w:r>
        <w:rPr>
          <w:rStyle w:val="VerbatimChar"/>
        </w:rPr>
        <w:t xml:space="preserve">sqlglot</w:t>
      </w:r>
      <w:r>
        <w:t xml:space="preserve"> </w:t>
      </w:r>
      <w:r>
        <w:t xml:space="preserve">+ LLM-assisted conversion</w:t>
      </w:r>
      <w:r>
        <w:t xml:space="preserve"> </w:t>
      </w:r>
      <w:r>
        <w:rPr>
          <w:b/>
          <w:bCs/>
        </w:rPr>
        <w:t xml:space="preserve">de-risk the rewrite</w:t>
      </w:r>
      <w:r>
        <w:t xml:space="preserve"> </w:t>
      </w:r>
      <w:r>
        <w:t xml:space="preserve">enough that it’s a bounded, verification-dominated problem on tiny data — not a blind multi-quarter slog.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Net recommendation:</w:t>
      </w:r>
      <w:r>
        <w:t xml:space="preserve"> </w:t>
      </w:r>
      <w:r>
        <w:t xml:space="preserve">present the evidence-based case for managed Postgres once, with the concrete cost delta below. If BW holds firm on Azure SQL — the likely outcome — proceed on that path with eyes open, executing via LLM-assisted conversion. The engine question should be settled once, not relitigated repeatedly.</w:t>
      </w:r>
    </w:p>
    <w:p>
      <w:pPr>
        <w:pStyle w:val="BlockText"/>
      </w:pPr>
      <w:r>
        <w:rPr>
          <w:b/>
          <w:bCs/>
        </w:rPr>
        <w:t xml:space="preserve">The one-liner for Jake/BW:</w:t>
      </w:r>
      <w:r>
        <w:t xml:space="preserve"> </w:t>
      </w:r>
      <w:r>
        <w:rPr>
          <w:i/>
          <w:iCs/>
        </w:rPr>
        <w:t xml:space="preserve">“Postgres is still the cleaner engine and here’s exactly what the Azure SQL standardization costs in time and risk — but if BW’s standard is Azure SQL, we’ve now de-risked that path and can execute it. Your call; we’re ready either way.”</w:t>
      </w:r>
    </w:p>
    <w:p>
      <w:r>
        <w:pict>
          <v:rect style="width:0;height:1.5pt" o:hralign="center" o:hrstd="t" o:hr="t"/>
        </w:pict>
      </w:r>
    </w:p>
    <w:bookmarkEnd w:id="9"/>
    <w:bookmarkStart w:id="10" w:name="Xab92b3a0e6f891619fc243bcb0673baf112fda4"/>
    <w:p>
      <w:pPr>
        <w:pStyle w:val="Heading2"/>
      </w:pPr>
      <w:r>
        <w:t xml:space="preserve">The critical reframe — what is</w:t>
      </w:r>
      <w:r>
        <w:t xml:space="preserve"> </w:t>
      </w:r>
      <w:r>
        <w:rPr>
          <w:i/>
          <w:iCs/>
        </w:rPr>
        <w:t xml:space="preserve">actually</w:t>
      </w:r>
      <w:r>
        <w:t xml:space="preserve"> </w:t>
      </w:r>
      <w:r>
        <w:t xml:space="preserve">being compared</w:t>
      </w:r>
    </w:p>
    <w:p>
      <w:pPr>
        <w:pStyle w:val="FirstParagraph"/>
      </w:pPr>
      <w:r>
        <w:t xml:space="preserve">A huge share of the migration cost is</w:t>
      </w:r>
      <w:r>
        <w:t xml:space="preserve"> </w:t>
      </w:r>
      <w:r>
        <w:rPr>
          <w:b/>
          <w:bCs/>
        </w:rPr>
        <w:t xml:space="preserve">identical under both engines</w:t>
      </w:r>
      <w:r>
        <w:t xml:space="preserve"> </w:t>
      </w:r>
      <w:r>
        <w:t xml:space="preserve">and therefore</w:t>
      </w:r>
      <w:r>
        <w:t xml:space="preserve"> </w:t>
      </w:r>
      <w:r>
        <w:rPr>
          <w:b/>
          <w:bCs/>
        </w:rPr>
        <w:t xml:space="preserve">not a differentiator</w:t>
      </w:r>
      <w:r>
        <w:t xml:space="preserve">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Leaving Supabase entirely</w:t>
      </w:r>
      <w:r>
        <w:t xml:space="preserve"> </w:t>
      </w:r>
      <w:r>
        <w:t xml:space="preserve">— auth swap (Supabase Auth → Entra ID), a</w:t>
      </w:r>
      <w:r>
        <w:t xml:space="preserve"> </w:t>
      </w:r>
      <w:r>
        <w:rPr>
          <w:b/>
          <w:bCs/>
        </w:rPr>
        <w:t xml:space="preserve">custom API middleware tier</w:t>
      </w:r>
      <w:r>
        <w:t xml:space="preserve">, Edge Functions → Azure Functions, Realtime → Web PubSub, Vault → Key Vault, storage → Blob.</w:t>
      </w:r>
      <w:r>
        <w:t xml:space="preserve"> </w:t>
      </w:r>
      <w:r>
        <w:rPr>
          <w:b/>
          <w:bCs/>
        </w:rPr>
        <w:t xml:space="preserve">All required either way</w:t>
      </w:r>
      <w:r>
        <w:t xml:space="preserve">, because BW is moving off Supabase regardless of DB engine.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Azure provisioning, networking, governance, Foundry</w:t>
      </w:r>
      <w:r>
        <w:t xml:space="preserve"> </w:t>
      </w:r>
      <w:r>
        <w:t xml:space="preserve">— same under both.</w:t>
      </w:r>
    </w:p>
    <w:p>
      <w:pPr>
        <w:pStyle w:val="FirstParagraph"/>
      </w:pPr>
      <w:r>
        <w:t xml:space="preserve">So the</w:t>
      </w:r>
      <w:r>
        <w:t xml:space="preserve"> </w:t>
      </w:r>
      <w:r>
        <w:rPr>
          <w:b/>
          <w:bCs/>
        </w:rPr>
        <w:t xml:space="preserve">entire decision reduces to the data tier</w:t>
      </w:r>
      <w:r>
        <w:t xml:space="preserve">: how much does CARR’s</w:t>
      </w:r>
      <w:r>
        <w:t xml:space="preserve"> </w:t>
      </w:r>
      <w:r>
        <w:rPr>
          <w:i/>
          <w:iCs/>
        </w:rPr>
        <w:t xml:space="preserve">in-database code</w:t>
      </w:r>
      <w:r>
        <w:t xml:space="preserve"> </w:t>
      </w:r>
      <w:r>
        <w:t xml:space="preserve">cost to move? That’s where the two engines diverge sharply — and it’s the only axis this doc weighs.</w:t>
      </w:r>
    </w:p>
    <w:p>
      <w:r>
        <w:pict>
          <v:rect style="width:0;height:1.5pt" o:hralign="center" o:hrstd="t" o:hr="t"/>
        </w:pict>
      </w:r>
    </w:p>
    <w:bookmarkEnd w:id="10"/>
    <w:bookmarkStart w:id="11" w:name="X288614d2d1fda5faf4283e3ab058a9e307058d3"/>
    <w:p>
      <w:pPr>
        <w:pStyle w:val="Heading2"/>
      </w:pPr>
      <w:r>
        <w:t xml:space="preserve">Option A — Keep Postgres (Azure Database for PostgreSQL, Flexible Server) [GA]</w:t>
      </w:r>
    </w:p>
    <w:p>
      <w:pPr>
        <w:pStyle w:val="FirstParagraph"/>
      </w:pPr>
      <w:r>
        <w:t xml:space="preserve">The community-Postgres managed service. CARR’s schema, drivers, and</w:t>
      </w:r>
      <w:r>
        <w:t xml:space="preserve"> </w:t>
      </w:r>
      <w:r>
        <w:rPr>
          <w:rStyle w:val="VerbatimChar"/>
        </w:rPr>
        <w:t xml:space="preserve">pg_dump</w:t>
      </w:r>
      <w:r>
        <w:t xml:space="preserve"> </w:t>
      </w:r>
      <w:r>
        <w:t xml:space="preserve">carry over.</w:t>
      </w:r>
    </w:p>
    <w:p>
      <w:pPr>
        <w:pStyle w:val="BodyText"/>
      </w:pPr>
      <w:r>
        <w:rPr>
          <w:b/>
          <w:bCs/>
        </w:rPr>
        <w:t xml:space="preserve">Pros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Near lift-and-shift on the data tier.</w:t>
      </w:r>
      <w:r>
        <w:t xml:space="preserve"> </w:t>
      </w:r>
      <w:r>
        <w:t xml:space="preserve">PL/pgSQL functions (131), triggers (46), views (101),</w:t>
      </w:r>
      <w:r>
        <w:t xml:space="preserve"> </w:t>
      </w:r>
      <w:r>
        <w:rPr>
          <w:rStyle w:val="VerbatimChar"/>
        </w:rPr>
        <w:t xml:space="preserve">JSONB</w:t>
      </w:r>
      <w:r>
        <w:t xml:space="preserve"> </w:t>
      </w:r>
      <w:r>
        <w:t xml:space="preserve">(80 cols), array columns (105), generated columns, native RLS —</w:t>
      </w:r>
      <w:r>
        <w:t xml:space="preserve"> </w:t>
      </w:r>
      <w:r>
        <w:rPr>
          <w:b/>
          <w:bCs/>
        </w:rPr>
        <w:t xml:space="preserve">all carry over essentially as-is.</w:t>
      </w:r>
      <w:r>
        <w:t xml:space="preserve"> </w:t>
      </w:r>
      <w:r>
        <w:t xml:space="preserve">No dialect rewrite.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  <w:b/>
          <w:bCs/>
        </w:rPr>
        <w:t xml:space="preserve">pg_cron</w:t>
      </w:r>
      <w:r>
        <w:rPr>
          <w:b/>
          <w:bCs/>
        </w:rPr>
        <w:t xml:space="preserve"> </w:t>
      </w:r>
      <w:r>
        <w:rPr>
          <w:b/>
          <w:bCs/>
        </w:rPr>
        <w:t xml:space="preserve">(21 jobs),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pgvector</w:t>
      </w:r>
      <w:r>
        <w:rPr>
          <w:b/>
          <w:bCs/>
        </w:rPr>
        <w:t xml:space="preserve"> </w:t>
      </w:r>
      <w:r>
        <w:rPr>
          <w:b/>
          <w:bCs/>
        </w:rPr>
        <w:t xml:space="preserve">(future RAG),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pg_trgm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pgcrypto</w:t>
      </w:r>
      <w:r>
        <w:rPr>
          <w:b/>
          <w:bCs/>
        </w:rPr>
        <w:t xml:space="preserve"> </w:t>
      </w:r>
      <w:r>
        <w:rPr>
          <w:b/>
          <w:bCs/>
        </w:rPr>
        <w:t xml:space="preserve">all supported</w:t>
      </w:r>
      <w:r>
        <w:t xml:space="preserve"> </w:t>
      </w:r>
      <w:r>
        <w:t xml:space="preserve">via the</w:t>
      </w:r>
      <w:r>
        <w:t xml:space="preserve"> </w:t>
      </w:r>
      <w:r>
        <w:rPr>
          <w:rStyle w:val="VerbatimChar"/>
        </w:rPr>
        <w:t xml:space="preserve">azure.extensions</w:t>
      </w:r>
      <w:r>
        <w:t xml:space="preserve"> </w:t>
      </w:r>
      <w:r>
        <w:t xml:space="preserve">allowlist. The scheduled-job layer stays in-DB.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RLS change is mechanical, not structural.</w:t>
      </w:r>
      <w:r>
        <w:t xml:space="preserve"> </w:t>
      </w:r>
      <w:r>
        <w:t xml:space="preserve">Only the identity</w:t>
      </w:r>
      <w:r>
        <w:t xml:space="preserve"> </w:t>
      </w:r>
      <w:r>
        <w:rPr>
          <w:i/>
          <w:iCs/>
        </w:rPr>
        <w:t xml:space="preserve">source</w:t>
      </w:r>
      <w:r>
        <w:t xml:space="preserve"> </w:t>
      </w:r>
      <w:r>
        <w:t xml:space="preserve">changes: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NULLIF(current_setting('app.current_user_id',true),'')::uuid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SET LOCAL</w:t>
      </w:r>
      <w:r>
        <w:t xml:space="preserve">. Same 252 policies, same logic, find-and-replace shape — not a re-engineering.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Lowest risk + fastest to production.</w:t>
      </w:r>
      <w:r>
        <w:t xml:space="preserve"> </w:t>
      </w:r>
      <w:r>
        <w:t xml:space="preserve">Tiny semantic-equivalence surface; the DB behaves the same because it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the same engine.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Preserves Lovable /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supabase-js</w:t>
      </w:r>
      <w:r>
        <w:rPr>
          <w:b/>
          <w:bCs/>
        </w:rPr>
        <w:t xml:space="preserve">-style velocity</w:t>
      </w:r>
      <w:r>
        <w:t xml:space="preserve"> </w:t>
      </w:r>
      <w:r>
        <w:t xml:space="preserve">with the least disruption to how CARR is built today.</w:t>
      </w:r>
    </w:p>
    <w:p>
      <w:pPr>
        <w:pStyle w:val="BodyText"/>
      </w:pPr>
      <w:r>
        <w:rPr>
          <w:b/>
          <w:bCs/>
        </w:rPr>
        <w:t xml:space="preserve">Cons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  <w:b/>
          <w:bCs/>
        </w:rPr>
        <w:t xml:space="preserve">pgjwt</w:t>
      </w:r>
      <w:r>
        <w:rPr>
          <w:b/>
          <w:bCs/>
        </w:rPr>
        <w:t xml:space="preserve"> </w:t>
      </w:r>
      <w:r>
        <w:rPr>
          <w:b/>
          <w:bCs/>
        </w:rPr>
        <w:t xml:space="preserve">unsupported +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BYPASSRLS</w:t>
      </w:r>
      <w:r>
        <w:rPr>
          <w:b/>
          <w:bCs/>
        </w:rPr>
        <w:t xml:space="preserve"> </w:t>
      </w:r>
      <w:r>
        <w:rPr>
          <w:b/>
          <w:bCs/>
        </w:rPr>
        <w:t xml:space="preserve">restricted</w:t>
      </w:r>
      <w:r>
        <w:t xml:space="preserve"> </w:t>
      </w:r>
      <w:r>
        <w:t xml:space="preserve">on managed Azure PG — but these only matter to</w:t>
      </w:r>
      <w:r>
        <w:t xml:space="preserve"> </w:t>
      </w:r>
      <w:r>
        <w:rPr>
          <w:i/>
          <w:iCs/>
        </w:rPr>
        <w:t xml:space="preserve">self-hosted Supabase middleware</w:t>
      </w:r>
      <w:r>
        <w:t xml:space="preserve">, which we’re</w:t>
      </w:r>
      <w:r>
        <w:t xml:space="preserve"> </w:t>
      </w:r>
      <w:r>
        <w:rPr>
          <w:b/>
          <w:bCs/>
        </w:rPr>
        <w:t xml:space="preserve">replacing with custom middleware anyway</w:t>
      </w:r>
      <w:r>
        <w:t xml:space="preserve">, so the practical bite is small (see</w:t>
      </w:r>
      <w:r>
        <w:t xml:space="preserve"> </w:t>
      </w:r>
      <w:r>
        <w:rPr>
          <w:rStyle w:val="VerbatimChar"/>
        </w:rPr>
        <w:t xml:space="preserve">01</w:t>
      </w:r>
      <w:r>
        <w:t xml:space="preserve"> </w:t>
      </w:r>
      <w:r>
        <w:t xml:space="preserve">§self-hosted correction).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Off BW’s standard.</w:t>
      </w:r>
      <w:r>
        <w:t xml:space="preserve"> </w:t>
      </w:r>
      <w:r>
        <w:t xml:space="preserve">BW has essentially no other Postgres (only a small DI team). CARR would be a</w:t>
      </w:r>
      <w:r>
        <w:t xml:space="preserve"> </w:t>
      </w:r>
      <w:r>
        <w:rPr>
          <w:b/>
          <w:bCs/>
        </w:rPr>
        <w:t xml:space="preserve">one-off platform</w:t>
      </w:r>
      <w:r>
        <w:t xml:space="preserve"> </w:t>
      </w:r>
      <w:r>
        <w:t xml:space="preserve">their DBAs don’t otherwise support — the core institutional objection.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Tooling/skills mismatch</w:t>
      </w:r>
      <w:r>
        <w:t xml:space="preserve"> </w:t>
      </w:r>
      <w:r>
        <w:t xml:space="preserve">with BW’s Microsoft-centric estate (SSMS, SQL Agent, the Azure SQL ecosystem their team already runs).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Perceived</w:t>
      </w:r>
      <w:r>
        <w:t xml:space="preserve"> </w:t>
      </w:r>
      <w:r>
        <w:t xml:space="preserve">as</w:t>
      </w:r>
      <w:r>
        <w:t xml:space="preserve"> </w:t>
      </w:r>
      <w:r>
        <w:t xml:space="preserve">“the vendor pushing their preference”</w:t>
      </w:r>
      <w:r>
        <w:t xml:space="preserve"> </w:t>
      </w:r>
      <w:r>
        <w:t xml:space="preserve">rather than aligning to enterprise standards — a relationship/optics cost even when technically right.</w:t>
      </w:r>
    </w:p>
    <w:p>
      <w:pPr>
        <w:pStyle w:val="BodyText"/>
      </w:pPr>
      <w:r>
        <w:rPr>
          <w:b/>
          <w:bCs/>
        </w:rPr>
        <w:t xml:space="preserve">Difficulty (data tier):</w:t>
      </w:r>
      <w:r>
        <w:t xml:space="preserve"> </w:t>
      </w:r>
      <w:r>
        <w:t xml:space="preserve">~</w:t>
      </w:r>
      <w:r>
        <w:rPr>
          <w:b/>
          <w:bCs/>
        </w:rPr>
        <w:t xml:space="preserve">2–3/10.</w:t>
      </w:r>
      <w:r>
        <w:t xml:space="preserve"> </w:t>
      </w:r>
      <w:r>
        <w:t xml:space="preserve">The hard parts (auth/middleware) are shared with Option B, not Postgres-specific.</w:t>
      </w:r>
    </w:p>
    <w:p>
      <w:r>
        <w:pict>
          <v:rect style="width:0;height:1.5pt" o:hralign="center" o:hrstd="t" o:hr="t"/>
        </w:pict>
      </w:r>
    </w:p>
    <w:bookmarkEnd w:id="11"/>
    <w:bookmarkStart w:id="12" w:name="Xcd8963d547764946f20b93989828ac4a83d5da6"/>
    <w:p>
      <w:pPr>
        <w:pStyle w:val="Heading2"/>
      </w:pPr>
      <w:r>
        <w:t xml:space="preserve">Option B — Move to Azure SQL (Managed Instance or SQL Database) [GA] —</w:t>
      </w:r>
      <w:r>
        <w:t xml:space="preserve"> </w:t>
      </w:r>
      <w:r>
        <w:rPr>
          <w:i/>
          <w:iCs/>
        </w:rPr>
        <w:t xml:space="preserve">BW’s locked choice</w:t>
      </w:r>
    </w:p>
    <w:p>
      <w:pPr>
        <w:pStyle w:val="FirstParagraph"/>
      </w:pPr>
      <w:r>
        <w:t xml:space="preserve">A different engine (T-SQL). CARR’s relational</w:t>
      </w:r>
      <w:r>
        <w:t xml:space="preserve"> </w:t>
      </w:r>
      <w:r>
        <w:rPr>
          <w:i/>
          <w:iCs/>
        </w:rPr>
        <w:t xml:space="preserve">shape</w:t>
      </w:r>
      <w:r>
        <w:t xml:space="preserve"> </w:t>
      </w:r>
      <w:r>
        <w:t xml:space="preserve">moves; everything procedural is rewritten.</w:t>
      </w:r>
    </w:p>
    <w:p>
      <w:pPr>
        <w:pStyle w:val="BodyText"/>
      </w:pPr>
      <w:r>
        <w:rPr>
          <w:b/>
          <w:bCs/>
        </w:rPr>
        <w:t xml:space="preserve">Pros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BW standard.</w:t>
      </w:r>
      <w:r>
        <w:t xml:space="preserve"> </w:t>
      </w:r>
      <w:r>
        <w:t xml:space="preserve">One DB platform their DBAs support, one backup/HA/monitoring/security posture, one toolchain (SSMS, SQL Agent/Elastic Jobs, Defender for SQL). The</w:t>
      </w:r>
      <w:r>
        <w:t xml:space="preserve"> </w:t>
      </w:r>
      <w:r>
        <w:rPr>
          <w:b/>
          <w:bCs/>
        </w:rPr>
        <w:t xml:space="preserve">decisive enterprise argument.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Native fit with BW’s Microsoft direction</w:t>
      </w:r>
      <w:r>
        <w:t xml:space="preserve"> </w:t>
      </w:r>
      <w:r>
        <w:t xml:space="preserve">— Entra, Key Vault, Azure Functions, and</w:t>
      </w:r>
      <w:r>
        <w:t xml:space="preserve"> </w:t>
      </w:r>
      <w:r>
        <w:rPr>
          <w:b/>
          <w:bCs/>
        </w:rPr>
        <w:t xml:space="preserve">Foundry</w:t>
      </w:r>
      <w:r>
        <w:t xml:space="preserve"> </w:t>
      </w:r>
      <w:r>
        <w:t xml:space="preserve">all sit naturally beside Azure SQL; future BW-built AI tooling lands on the same stack.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First-class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SECURITY POLICY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SESSION_CONTEXT</w:t>
      </w:r>
      <w:r>
        <w:rPr>
          <w:b/>
          <w:bCs/>
        </w:rPr>
        <w:t xml:space="preserve"> </w:t>
      </w:r>
      <w:r>
        <w:rPr>
          <w:b/>
          <w:bCs/>
        </w:rPr>
        <w:t xml:space="preserve">RLS</w:t>
      </w:r>
      <w:r>
        <w:t xml:space="preserve"> </w:t>
      </w:r>
      <w:r>
        <w:t xml:space="preserve">— a Microsoft-recommended multi-tenant pattern; once converted it’s idiomatic and well-supported.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De-risked since 6/17 (the real update):</w:t>
      </w:r>
      <w:r>
        <w:t xml:space="preserve"> </w:t>
      </w:r>
      <w:r>
        <w:t xml:space="preserve">the PG→T-SQL conversion knowledge is</w:t>
      </w:r>
      <w:r>
        <w:t xml:space="preserve"> </w:t>
      </w:r>
      <w:r>
        <w:rPr>
          <w:b/>
          <w:bCs/>
        </w:rPr>
        <w:t xml:space="preserve">pre-trained</w:t>
      </w:r>
      <w:r>
        <w:t xml:space="preserve"> </w:t>
      </w:r>
      <w:r>
        <w:t xml:space="preserve">in the models (</w:t>
      </w:r>
      <w:r>
        <w:rPr>
          <w:rStyle w:val="VerbatimChar"/>
        </w:rPr>
        <w:t xml:space="preserve">10</w:t>
      </w:r>
      <w:r>
        <w:t xml:space="preserve"> </w:t>
      </w:r>
      <w:r>
        <w:t xml:space="preserve">— Claude/Gemini 6/6, GPT ~5.5/6, no hints),</w:t>
      </w:r>
      <w:r>
        <w:t xml:space="preserve"> </w:t>
      </w:r>
      <w:r>
        <w:rPr>
          <w:rStyle w:val="VerbatimChar"/>
        </w:rPr>
        <w:t xml:space="preserve">sqlglot</w:t>
      </w:r>
      <w:r>
        <w:t xml:space="preserve"> </w:t>
      </w:r>
      <w:r>
        <w:t xml:space="preserve">handles the mechanical ~50–60% deterministically, and LLM-assisted conversion handles the procedural/RLS tail. Tiny data (&lt;500 MB) makes the data</w:t>
      </w:r>
      <w:r>
        <w:t xml:space="preserve"> </w:t>
      </w:r>
      <w:r>
        <w:rPr>
          <w:i/>
          <w:iCs/>
        </w:rPr>
        <w:t xml:space="preserve">move</w:t>
      </w:r>
      <w:r>
        <w:t xml:space="preserve"> </w:t>
      </w:r>
      <w:r>
        <w:t xml:space="preserve">a non-event.</w:t>
      </w:r>
    </w:p>
    <w:p>
      <w:pPr>
        <w:pStyle w:val="BodyText"/>
      </w:pPr>
      <w:r>
        <w:rPr>
          <w:b/>
          <w:bCs/>
        </w:rPr>
        <w:t xml:space="preserve">Cons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Major rewrite of the in-DB code</w:t>
      </w:r>
      <w:r>
        <w:t xml:space="preserve">, not a port:</w:t>
      </w:r>
      <w:r>
        <w:t xml:space="preserve"> </w:t>
      </w:r>
      <w:r>
        <w:rPr>
          <w:b/>
          <w:bCs/>
        </w:rPr>
        <w:t xml:space="preserve">131 functions</w:t>
      </w:r>
      <w:r>
        <w:t xml:space="preserve"> </w:t>
      </w:r>
      <w:r>
        <w:t xml:space="preserve">(103 PL/pgSQL),</w:t>
      </w:r>
      <w:r>
        <w:t xml:space="preserve"> </w:t>
      </w:r>
      <w:r>
        <w:rPr>
          <w:b/>
          <w:bCs/>
        </w:rPr>
        <w:t xml:space="preserve">252 RLS policies</w:t>
      </w:r>
      <w:r>
        <w:t xml:space="preserve"> </w:t>
      </w:r>
      <w:r>
        <w:t xml:space="preserve">(120 read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),</w:t>
      </w:r>
      <w:r>
        <w:t xml:space="preserve"> </w:t>
      </w:r>
      <w:r>
        <w:rPr>
          <w:b/>
          <w:bCs/>
        </w:rPr>
        <w:t xml:space="preserve">46 triggers</w:t>
      </w:r>
      <w:r>
        <w:t xml:space="preserve"> </w:t>
      </w:r>
      <w:r>
        <w:t xml:space="preserve">(row-level → set-based over</w:t>
      </w:r>
      <w:r>
        <w:t xml:space="preserve"> </w:t>
      </w:r>
      <w:r>
        <w:rPr>
          <w:rStyle w:val="VerbatimChar"/>
        </w:rPr>
        <w:t xml:space="preserve">inserted</w:t>
      </w:r>
      <w:r>
        <w:t xml:space="preserve">/</w:t>
      </w:r>
      <w:r>
        <w:rPr>
          <w:rStyle w:val="VerbatimChar"/>
        </w:rPr>
        <w:t xml:space="preserve">deleted</w:t>
      </w:r>
      <w:r>
        <w:t xml:space="preserve">),</w:t>
      </w:r>
      <w:r>
        <w:t xml:space="preserve"> </w:t>
      </w:r>
      <w:r>
        <w:rPr>
          <w:b/>
          <w:bCs/>
        </w:rPr>
        <w:t xml:space="preserve">80 JSONB</w:t>
      </w:r>
      <w:r>
        <w:t xml:space="preserve"> </w:t>
      </w:r>
      <w:r>
        <w:t xml:space="preserve">cols →</w:t>
      </w:r>
      <w:r>
        <w:t xml:space="preserve"> </w:t>
      </w:r>
      <w:r>
        <w:rPr>
          <w:rStyle w:val="VerbatimChar"/>
        </w:rPr>
        <w:t xml:space="preserve">NVARCHAR(MAX)</w:t>
      </w:r>
      <w:r>
        <w:t xml:space="preserve">+</w:t>
      </w:r>
      <w:r>
        <w:rPr>
          <w:rStyle w:val="VerbatimChar"/>
        </w:rPr>
        <w:t xml:space="preserve">OPENJSON</w:t>
      </w:r>
      <w:r>
        <w:t xml:space="preserve"> </w:t>
      </w:r>
      <w:r>
        <w:t xml:space="preserve">(lose GIN indexing),</w:t>
      </w:r>
      <w:r>
        <w:t xml:space="preserve"> </w:t>
      </w:r>
      <w:r>
        <w:rPr>
          <w:b/>
          <w:bCs/>
        </w:rPr>
        <w:t xml:space="preserve">105 array columns</w:t>
      </w:r>
      <w:r>
        <w:t xml:space="preserve"> </w:t>
      </w:r>
      <w:r>
        <w:t xml:space="preserve">→ junction tables/JSON (the single biggest schema-shape change).</w:t>
      </w:r>
      <w:r>
        <w:t xml:space="preserve"> </w:t>
      </w:r>
      <w:r>
        <w:rPr>
          <w:rStyle w:val="VerbatimChar"/>
        </w:rPr>
        <w:t xml:space="preserve">ON CONFLICT</w:t>
      </w:r>
      <w:r>
        <w:t xml:space="preserve">→</w:t>
      </w:r>
      <w:r>
        <w:rPr>
          <w:rStyle w:val="VerbatimChar"/>
        </w:rPr>
        <w:t xml:space="preserve">MERGE</w:t>
      </w:r>
      <w:r>
        <w:t xml:space="preserve">,</w:t>
      </w:r>
      <w:r>
        <w:t xml:space="preserve"> </w:t>
      </w:r>
      <w:r>
        <w:rPr>
          <w:rStyle w:val="VerbatimChar"/>
        </w:rPr>
        <w:t xml:space="preserve">now()</w:t>
      </w:r>
      <w:r>
        <w:t xml:space="preserve">/intervals/casts pervasive-but-mechanical.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first-party converter.</w:t>
      </w:r>
      <w:r>
        <w:t xml:space="preserve"> </w:t>
      </w:r>
      <w:r>
        <w:t xml:space="preserve">SSMA doesn’t support Postgres as a source; DMS doesn’t convert dialects. The procedural/RLS tail is a manual + LLM-assisted build.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Semantic-equivalence verification is the real cost (6.5/10).</w:t>
      </w:r>
      <w:r>
        <w:t xml:space="preserve"> </w:t>
      </w:r>
      <w:r>
        <w:t xml:space="preserve">Proving 131 fns + 252 policies + 46 triggers behave</w:t>
      </w:r>
      <w:r>
        <w:t xml:space="preserve"> </w:t>
      </w:r>
      <w:r>
        <w:rPr>
          <w:i/>
          <w:iCs/>
        </w:rPr>
        <w:t xml:space="preserve">identically</w:t>
      </w:r>
      <w:r>
        <w:t xml:space="preserve"> </w:t>
      </w:r>
      <w:r>
        <w:t xml:space="preserve">— not just compile — is a genuine QA program. This is where a migration</w:t>
      </w:r>
      <w:r>
        <w:t xml:space="preserve"> </w:t>
      </w:r>
      <w:r>
        <w:t xml:space="preserve">“looks done”</w:t>
      </w:r>
      <w:r>
        <w:t xml:space="preserve"> </w:t>
      </w:r>
      <w:r>
        <w:t xml:space="preserve">but quietly returns wrong rows to a rep.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In-DB extensions leave the database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pg_net</w:t>
      </w:r>
      <w:r>
        <w:t xml:space="preserve">/</w:t>
      </w:r>
      <w:r>
        <w:rPr>
          <w:rStyle w:val="VerbatimChar"/>
        </w:rPr>
        <w:t xml:space="preserve">http</w:t>
      </w:r>
      <w:r>
        <w:t xml:space="preserve">/</w:t>
      </w:r>
      <w:r>
        <w:rPr>
          <w:rStyle w:val="VerbatimChar"/>
        </w:rPr>
        <w:t xml:space="preserve">supabase_vault</w:t>
      </w:r>
      <w:r>
        <w:t xml:space="preserve">/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have no in-DB Azure SQL equivalent; they move to Azure Functions / Key Vault / SQL Agent or Elastic Jobs (more moving parts).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Team ramp on T-SQL + Azure</w:t>
      </w:r>
      <w:r>
        <w:t xml:space="preserve"> </w:t>
      </w:r>
      <w:r>
        <w:t xml:space="preserve">— building and operating on a new engine/platform is a learning curve on a client’s production migration.</w:t>
      </w:r>
    </w:p>
    <w:p>
      <w:pPr>
        <w:pStyle w:val="BodyText"/>
      </w:pPr>
      <w:r>
        <w:rPr>
          <w:b/>
          <w:bCs/>
        </w:rPr>
        <w:t xml:space="preserve">Difficulty (data tier):</w:t>
      </w:r>
      <w:r>
        <w:t xml:space="preserve"> </w:t>
      </w:r>
      <w:r>
        <w:t xml:space="preserve">~</w:t>
      </w:r>
      <w:r>
        <w:rPr>
          <w:b/>
          <w:bCs/>
        </w:rPr>
        <w:t xml:space="preserve">8/10 end-to-end</w:t>
      </w:r>
      <w:r>
        <w:t xml:space="preserve"> </w:t>
      </w:r>
      <w:r>
        <w:t xml:space="preserve">(dominated by semantic-equivalence verification plus the Azure-side and BW-gated work).</w:t>
      </w:r>
    </w:p>
    <w:p>
      <w:r>
        <w:pict>
          <v:rect style="width:0;height:1.5pt" o:hralign="center" o:hrstd="t" o:hr="t"/>
        </w:pict>
      </w:r>
    </w:p>
    <w:bookmarkEnd w:id="12"/>
    <w:bookmarkStart w:id="13" w:name="X5fbbab82ccb85141af9f5ee76cf86bc29f4cf34"/>
    <w:p>
      <w:pPr>
        <w:pStyle w:val="Heading2"/>
      </w:pPr>
      <w:r>
        <w:t xml:space="preserve">Head-to-head (data tier only — the shared Supabase-exit cost is equal)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Dimension</w:t>
            </w:r>
          </w:p>
        </w:tc>
        <w:tc>
          <w:tcPr/>
          <w:p>
            <w:pPr>
              <w:pStyle w:val="Compact"/>
            </w:pPr>
            <w:r>
              <w:t xml:space="preserve">Keep Postgres (Azure DB for PG)</w:t>
            </w:r>
          </w:p>
        </w:tc>
        <w:tc>
          <w:tcPr/>
          <w:p>
            <w:pPr>
              <w:pStyle w:val="Compact"/>
            </w:pPr>
            <w:r>
              <w:t xml:space="preserve">Move to Azure SQL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In-DB code rewrite (131 fns / 46 triggers / 101 views)</w:t>
            </w:r>
          </w:p>
        </w:tc>
        <w:tc>
          <w:tcPr/>
          <w:p>
            <w:pPr>
              <w:pStyle w:val="Compact"/>
            </w:pPr>
            <w:r>
              <w:t xml:space="preserve">✅ carries over</w:t>
            </w:r>
          </w:p>
        </w:tc>
        <w:tc>
          <w:tcPr/>
          <w:p>
            <w:pPr>
              <w:pStyle w:val="Compact"/>
            </w:pPr>
            <w:r>
              <w:t xml:space="preserve">❌ full T-SQL rewrite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 (252 policies)</w:t>
            </w:r>
          </w:p>
        </w:tc>
        <w:tc>
          <w:tcPr/>
          <w:p>
            <w:pPr>
              <w:pStyle w:val="Compact"/>
            </w:pPr>
            <w:r>
              <w:t xml:space="preserve">⚠ mechanical repoint</w:t>
            </w:r>
          </w:p>
        </w:tc>
        <w:tc>
          <w:tcPr/>
          <w:p>
            <w:pPr>
              <w:pStyle w:val="Compact"/>
            </w:pPr>
            <w:r>
              <w:t xml:space="preserve">❌ re-engineer (SECURITY POLICY + SESSION_CONTEXT)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JSONB (80) / arrays (105)</w:t>
            </w:r>
          </w:p>
        </w:tc>
        <w:tc>
          <w:tcPr/>
          <w:p>
            <w:pPr>
              <w:pStyle w:val="Compact"/>
            </w:pPr>
            <w:r>
              <w:t xml:space="preserve">✅ native</w:t>
            </w:r>
          </w:p>
        </w:tc>
        <w:tc>
          <w:tcPr/>
          <w:p>
            <w:pPr>
              <w:pStyle w:val="Compact"/>
            </w:pPr>
            <w:r>
              <w:t xml:space="preserve">⚠ JSON / ❌ redesign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Scheduled jobs (21</w:t>
            </w:r>
            <w:r>
              <w:t xml:space="preserve"> </w:t>
            </w:r>
            <w:r>
              <w:rPr>
                <w:rStyle w:val="VerbatimChar"/>
              </w:rPr>
              <w:t xml:space="preserve">pg_cron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✅ stays in-DB</w:t>
            </w:r>
          </w:p>
        </w:tc>
        <w:tc>
          <w:tcPr/>
          <w:p>
            <w:pPr>
              <w:pStyle w:val="Compact"/>
            </w:pPr>
            <w:r>
              <w:t xml:space="preserve">⚠ moves to SQL Agent/Elastic Jobs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move (&lt;500 MB)</w:t>
            </w:r>
          </w:p>
        </w:tc>
        <w:tc>
          <w:tcPr/>
          <w:p>
            <w:pPr>
              <w:pStyle w:val="Compact"/>
            </w:pPr>
            <w:r>
              <w:t xml:space="preserve">✅ trivial</w:t>
            </w:r>
          </w:p>
        </w:tc>
        <w:tc>
          <w:tcPr/>
          <w:p>
            <w:pPr>
              <w:pStyle w:val="Compact"/>
            </w:pPr>
            <w:r>
              <w:t xml:space="preserve">✅ trivial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Semantic-equivalence risk</w:t>
            </w:r>
          </w:p>
        </w:tc>
        <w:tc>
          <w:tcPr/>
          <w:p>
            <w:pPr>
              <w:pStyle w:val="Compact"/>
            </w:pPr>
            <w:r>
              <w:t xml:space="preserve">very 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main cost (6.5/10)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Time-to-production (data tier)</w:t>
            </w:r>
          </w:p>
        </w:tc>
        <w:tc>
          <w:tcPr/>
          <w:p>
            <w:pPr>
              <w:pStyle w:val="Compact"/>
            </w:pPr>
            <w:r>
              <w:t xml:space="preserve">weeks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weeks-to-months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BW standardization / DBA support</w:t>
            </w:r>
          </w:p>
        </w:tc>
        <w:tc>
          <w:tcPr/>
          <w:p>
            <w:pPr>
              <w:pStyle w:val="Compact"/>
            </w:pPr>
            <w:r>
              <w:t xml:space="preserve">❌ one-off</w:t>
            </w:r>
          </w:p>
        </w:tc>
        <w:tc>
          <w:tcPr/>
          <w:p>
            <w:pPr>
              <w:pStyle w:val="Compact"/>
            </w:pPr>
            <w:r>
              <w:t xml:space="preserve">✅ aligned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Microsoft-stack / Foundry adjacency</w:t>
            </w:r>
          </w:p>
        </w:tc>
        <w:tc>
          <w:tcPr/>
          <w:p>
            <w:pPr>
              <w:pStyle w:val="Compact"/>
            </w:pPr>
            <w:r>
              <w:t xml:space="preserve">neutral</w:t>
            </w:r>
          </w:p>
        </w:tc>
        <w:tc>
          <w:tcPr/>
          <w:p>
            <w:pPr>
              <w:pStyle w:val="Compact"/>
            </w:pPr>
            <w:r>
              <w:t xml:space="preserve">✅ native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De-risked &amp; executable?</w:t>
            </w:r>
          </w:p>
        </w:tc>
        <w:tc>
          <w:tcPr/>
          <w:p>
            <w:pPr>
              <w:pStyle w:val="Compact"/>
            </w:pPr>
            <w:r>
              <w:t xml:space="preserve">✅ easily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  <w:r>
              <w:t xml:space="preserve"> </w:t>
            </w:r>
            <w:r>
              <w:rPr>
                <w:b/>
                <w:bCs/>
              </w:rPr>
              <w:t xml:space="preserve">now yes</w:t>
            </w:r>
            <w:r>
              <w:t xml:space="preserve"> </w:t>
            </w:r>
            <w:r>
              <w:t xml:space="preserve">(pre-trained models + sqlglot + LLM-assisted tail)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Data-tier difficulty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~2–3/10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~8/10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X81262b9041a4fe3ad2b6dbc90737da5df0106d7"/>
    <w:p>
      <w:pPr>
        <w:pStyle w:val="Heading2"/>
      </w:pPr>
      <w:r>
        <w:t xml:space="preserve">What changed vs the 6/17 verdict (and what didn’t)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Didn’t change: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engineering</w:t>
      </w:r>
      <w:r>
        <w:t xml:space="preserve"> </w:t>
      </w:r>
      <w:r>
        <w:t xml:space="preserve">answer. Managed Postgres is still the lower-cost, lower-risk data tier.</w:t>
      </w:r>
      <w:r>
        <w:t xml:space="preserve"> </w:t>
      </w:r>
      <w:r>
        <w:rPr>
          <w:rStyle w:val="VerbatimChar"/>
        </w:rPr>
        <w:t xml:space="preserve">01</w:t>
      </w:r>
      <w:r>
        <w:t xml:space="preserve">’s technical reasoning stands.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Changed: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characterization</w:t>
      </w:r>
      <w:r>
        <w:t xml:space="preserve"> </w:t>
      </w:r>
      <w:r>
        <w:t xml:space="preserve">of the Azure SQL path.</w:t>
      </w:r>
      <w:r>
        <w:t xml:space="preserve"> </w:t>
      </w:r>
      <w:r>
        <w:rPr>
          <w:rStyle w:val="VerbatimChar"/>
        </w:rPr>
        <w:t xml:space="preserve">01</w:t>
      </w:r>
      <w:r>
        <w:t xml:space="preserve"> </w:t>
      </w:r>
      <w:r>
        <w:t xml:space="preserve">called it</w:t>
      </w:r>
      <w:r>
        <w:t xml:space="preserve"> </w:t>
      </w:r>
      <w:r>
        <w:t xml:space="preserve">“catastrophic.”</w:t>
      </w:r>
      <w:r>
        <w:t xml:space="preserve"> </w:t>
      </w:r>
      <w:r>
        <w:t xml:space="preserve">After the full scoping (</w:t>
      </w:r>
      <w:r>
        <w:rPr>
          <w:rStyle w:val="VerbatimChar"/>
        </w:rPr>
        <w:t xml:space="preserve">07</w:t>
      </w:r>
      <w:r>
        <w:t xml:space="preserve">), the honest word is</w:t>
      </w:r>
      <w:r>
        <w:t xml:space="preserve"> </w:t>
      </w:r>
      <w:r>
        <w:rPr>
          <w:b/>
          <w:bCs/>
        </w:rPr>
        <w:t xml:space="preserve">“expensive but tractable”</w:t>
      </w:r>
      <w:r>
        <w:t xml:space="preserve"> </w:t>
      </w:r>
      <w:r>
        <w:t xml:space="preserve">— a bounded, verification-dominated effort on tiny data, not an open-ended rewrite. That materially narrows the practical gap and makes accepting BW’s choice defensible.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Sharpened:</w:t>
      </w:r>
      <w:r>
        <w:t xml:space="preserve"> </w:t>
      </w:r>
      <w:r>
        <w:t xml:space="preserve">we can now put</w:t>
      </w:r>
      <w:r>
        <w:t xml:space="preserve"> </w:t>
      </w:r>
      <w:r>
        <w:rPr>
          <w:b/>
          <w:bCs/>
        </w:rPr>
        <w:t xml:space="preserve">concrete numbers</w:t>
      </w:r>
      <w:r>
        <w:t xml:space="preserve"> </w:t>
      </w:r>
      <w:r>
        <w:t xml:space="preserve">on the cost of the standardization decision (131/252/46/80/105, the 8 vs 2–3) that we lacked on the 6/17 call. That’s the new ammunition for one informed conversation.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Forward-looking (see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14</w:t>
      </w:r>
      <w:r>
        <w:rPr>
          <w:b/>
          <w:bCs/>
        </w:rPr>
        <w:t xml:space="preserve">):</w:t>
      </w:r>
      <w:r>
        <w:t xml:space="preserve"> </w:t>
      </w:r>
      <w:r>
        <w:t xml:space="preserve">external trend research confirms Postgres leads developer adoption (SO 2025:</w:t>
      </w:r>
      <w:r>
        <w:t xml:space="preserve"> </w:t>
      </w:r>
      <w:r>
        <w:rPr>
          <w:b/>
          <w:bCs/>
        </w:rPr>
        <w:t xml:space="preserve">55.6%</w:t>
      </w:r>
      <w:r>
        <w:t xml:space="preserve"> </w:t>
      </w:r>
      <w:r>
        <w:t xml:space="preserve">vs SQL Server 27%) and owns the open AI/MCP/pgvector ecosystem — but</w:t>
      </w:r>
      <w:r>
        <w:t xml:space="preserve"> </w:t>
      </w:r>
      <w:r>
        <w:rPr>
          <w:b/>
          <w:bCs/>
        </w:rPr>
        <w:t xml:space="preserve">SQL Server 2025 added native vector/DiskANN/AI-model-mgmt/Copilot</w:t>
      </w:r>
      <w:r>
        <w:t xml:space="preserve">, so</w:t>
      </w:r>
      <w:r>
        <w:t xml:space="preserve"> </w:t>
      </w:r>
      <w:r>
        <w:t xml:space="preserve">“Azure SQL can’t do AI”</w:t>
      </w:r>
      <w:r>
        <w:t xml:space="preserve"> </w:t>
      </w:r>
      <w:r>
        <w:t xml:space="preserve">is closed. The honest long-term cost of Azure SQL is</w:t>
      </w:r>
      <w:r>
        <w:t xml:space="preserve"> </w:t>
      </w:r>
      <w:r>
        <w:rPr>
          <w:b/>
          <w:bCs/>
        </w:rPr>
        <w:t xml:space="preserve">the ongoing T-SQL velocity tradeoff</w:t>
      </w:r>
      <w:r>
        <w:t xml:space="preserve"> </w:t>
      </w:r>
      <w:r>
        <w:t xml:space="preserve">+ loss of in-DB</w:t>
      </w:r>
      <w:r>
        <w:t xml:space="preserve"> </w:t>
      </w:r>
      <w:r>
        <w:rPr>
          <w:rStyle w:val="VerbatimChar"/>
        </w:rPr>
        <w:t xml:space="preserve">pg_net</w:t>
      </w:r>
      <w:r>
        <w:t xml:space="preserve">/</w:t>
      </w:r>
      <w:r>
        <w:rPr>
          <w:rStyle w:val="VerbatimChar"/>
        </w:rPr>
        <w:t xml:space="preserve">pg_cron</w:t>
      </w:r>
      <w:r>
        <w:t xml:space="preserve">/</w:t>
      </w:r>
      <w:r>
        <w:rPr>
          <w:rStyle w:val="VerbatimChar"/>
        </w:rPr>
        <w:t xml:space="preserve">vault</w:t>
      </w:r>
      <w:r>
        <w:t xml:space="preserve">, not a capability ceiling.</w:t>
      </w:r>
    </w:p>
    <w:p>
      <w:r>
        <w:pict>
          <v:rect style="width:0;height:1.5pt" o:hralign="center" o:hrstd="t" o:hr="t"/>
        </w:pict>
      </w:r>
    </w:p>
    <w:bookmarkEnd w:id="14"/>
    <w:bookmarkStart w:id="15" w:name="the-recommendation-in-practice"/>
    <w:p>
      <w:pPr>
        <w:pStyle w:val="Heading2"/>
      </w:pPr>
      <w:r>
        <w:t xml:space="preserve">The recommendation in practice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One informed case to BW (not a fight).</w:t>
      </w:r>
      <w:r>
        <w:t xml:space="preserve"> </w:t>
      </w:r>
      <w:r>
        <w:t xml:space="preserve">Present the head-to-head above to BW IT / Jake:</w:t>
      </w:r>
      <w:r>
        <w:t xml:space="preserve"> </w:t>
      </w:r>
      <w:r>
        <w:rPr>
          <w:i/>
          <w:iCs/>
        </w:rPr>
        <w:t xml:space="preserve">“Standardizing on Azure SQL is a legitimate call. Here’s precisely what it costs vs a supported managed-Postgres option — this much rewrite, this much verification, this much longer to production. Azure Database for PostgreSQL is a fully-managed, first-party Azure service [GA] — it may satisfy</w:t>
      </w:r>
      <w:r>
        <w:rPr>
          <w:i/>
          <w:iCs/>
        </w:rPr>
        <w:t xml:space="preserve"> </w:t>
      </w:r>
      <w:r>
        <w:rPr>
          <w:i/>
          <w:iCs/>
        </w:rPr>
        <w:t xml:space="preserve">‘on Azure, supported’</w:t>
      </w:r>
      <w:r>
        <w:rPr>
          <w:i/>
          <w:iCs/>
        </w:rPr>
        <w:t xml:space="preserve"> </w:t>
      </w:r>
      <w:r>
        <w:rPr>
          <w:i/>
          <w:iCs/>
        </w:rPr>
        <w:t xml:space="preserve">without the rewrite. Worth a look before we commit.”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If BW holds firm on Azure SQL (expected): accept cleanly and execute.</w:t>
      </w:r>
      <w:r>
        <w:t xml:space="preserve"> </w:t>
      </w:r>
      <w:r>
        <w:t xml:space="preserve">The path: LLM-assisted conversion for the procedural/RLS tail, supervised conversion plus an evaluation loop to retire the semantic-equivalence risk, and the joint, BW-resourced Azure-side work. Don’t reopen the engine question after this.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Either way, the shared Supabase-exit work (auth/middleware/Functions/networking) proceeds in parallel</w:t>
      </w:r>
      <w:r>
        <w:t xml:space="preserve"> </w:t>
      </w:r>
      <w:r>
        <w:t xml:space="preserve">— it’s required regardless and shouldn’t wait on the engine decision.</w:t>
      </w:r>
    </w:p>
    <w:p>
      <w:pPr>
        <w:pStyle w:val="BlockText"/>
      </w:pPr>
      <w:r>
        <w:rPr>
          <w:b/>
          <w:bCs/>
        </w:rPr>
        <w:t xml:space="preserve">Bottom line:</w:t>
      </w:r>
      <w:r>
        <w:t xml:space="preserve"> </w:t>
      </w:r>
      <w:r>
        <w:t xml:space="preserve">the reanalysis confirms Postgres is technically better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confirms Azure SQL is now executable. Lead with the evidence once; then let BW’s standardization mandate decide, and be genuinely ready to deliver on the path they choose.</w:t>
      </w:r>
    </w:p>
    <w:p>
      <w:r>
        <w:pict>
          <v:rect style="width:0;height:1.5pt" o:hralign="center" o:hrstd="t" o:hr="t"/>
        </w:pict>
      </w:r>
    </w:p>
    <w:bookmarkEnd w:id="15"/>
    <w:bookmarkStart w:id="16" w:name="cross-links"/>
    <w:p>
      <w:pPr>
        <w:pStyle w:val="Heading2"/>
      </w:pPr>
      <w:r>
        <w:t xml:space="preserve">Cross-links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01_data_layer.md</w:t>
      </w:r>
      <w:r>
        <w:t xml:space="preserve"> </w:t>
      </w:r>
      <w:r>
        <w:t xml:space="preserve">— original PG-wins verdict + the RLS/identity + self-hosted-Supabase corrections.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— the conversion census + runbook (the Option-B cost detail).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10_llm_knowledge_and_oss_landscape.md</w:t>
      </w:r>
      <w:r>
        <w:t xml:space="preserve"> </w:t>
      </w:r>
      <w:r>
        <w:t xml:space="preserve">— why conversion is de-risked (pre-trained model knowledge + sqlglot).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14_strategic_trend_analysis.md</w:t>
      </w:r>
      <w:r>
        <w:t xml:space="preserve"> </w:t>
      </w:r>
      <w:r>
        <w:t xml:space="preserve">— the forward-looking industry-trend view.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05_carr_migration_map.md</w:t>
      </w:r>
      <w:r>
        <w:t xml:space="preserve"> </w:t>
      </w:r>
      <w:r>
        <w:t xml:space="preserve">— component-by-component Azure mapping.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Reanalysis (PG vs Azure SQL)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