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Architecture Overview</w:t>
      </w:r>
    </w:p>
    <w:p>
      <w:pPr>
        <w:pStyle w:val="Author"/>
      </w:pPr>
      <w:r>
        <w:t xml:space="preserve">BioCreative Strategies</w:t>
      </w:r>
    </w:p>
    <w:p>
      <w:pPr>
        <w:pStyle w:val="Author"/>
      </w:pPr>
      <w:r>
        <w:t xml:space="preserve">Prepared for CARR Biosystems (Barry-Wehmiller)</w:t>
      </w:r>
    </w:p>
    <w:p>
      <w:pPr>
        <w:pStyle w:val="Date"/>
      </w:pPr>
      <w:r>
        <w:t xml:space="preserve">August 07, 2026</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19" w:name="carr-platform-architecture-current-build"/>
    <w:p>
      <w:pPr>
        <w:pStyle w:val="Heading1"/>
      </w:pPr>
      <w:r>
        <w:t xml:space="preserve">17 - CARR Platform Architecture (Current Build)</w:t>
      </w:r>
    </w:p>
    <w:p>
      <w:pPr>
        <w:pStyle w:val="BlockText"/>
      </w:pPr>
      <w:r>
        <w:rPr>
          <w:b/>
          <w:bCs/>
        </w:rPr>
        <w:t xml:space="preserve">What the CARR platform is made of today — the</w:t>
      </w:r>
      <w:r>
        <w:rPr>
          <w:b/>
          <w:bCs/>
        </w:rPr>
        <w:t xml:space="preserve"> </w:t>
      </w:r>
      <w:r>
        <w:rPr>
          <w:b/>
          <w:bCs/>
        </w:rPr>
        <w:t xml:space="preserve">“Current Virtual Environment.”</w:t>
      </w:r>
      <w:r>
        <w:t xml:space="preserve"> </w:t>
      </w:r>
      <w:r>
        <w:t xml:space="preserve">This is the clean overview discussed on the 2026-07-21 working session. The platform is four layers: the app users see, the Edge Functions (backend logic) it calls, the database underneath, and the external supply chain that keeps it fed. Understanding all four is required before planning how each moves to Azure.</w:t>
      </w:r>
      <w:r>
        <w:t xml:space="preserve"> </w:t>
      </w:r>
      <w:r>
        <w:rPr>
          <w:b/>
          <w:bCs/>
        </w:rPr>
        <w:t xml:space="preserve">Triggers:</w:t>
      </w:r>
      <w:r>
        <w:t xml:space="preserve"> </w:t>
      </w:r>
      <w:r>
        <w:t xml:space="preserve">“architecture overview”</w:t>
      </w:r>
      <w:r>
        <w:t xml:space="preserve">,</w:t>
      </w:r>
      <w:r>
        <w:t xml:space="preserve"> </w:t>
      </w:r>
      <w:r>
        <w:t xml:space="preserve">“current build”</w:t>
      </w:r>
      <w:r>
        <w:t xml:space="preserve">,</w:t>
      </w:r>
      <w:r>
        <w:t xml:space="preserve"> </w:t>
      </w:r>
      <w:r>
        <w:t xml:space="preserve">“virtual environment”</w:t>
      </w:r>
      <w:r>
        <w:t xml:space="preserve">,</w:t>
      </w:r>
      <w:r>
        <w:t xml:space="preserve"> </w:t>
      </w:r>
      <w:r>
        <w:t xml:space="preserve">“four layers”</w:t>
      </w:r>
      <w:r>
        <w:t xml:space="preserve">,</w:t>
      </w:r>
      <w:r>
        <w:t xml:space="preserve"> </w:t>
      </w:r>
      <w:r>
        <w:t xml:space="preserve">“how is carr built”</w:t>
      </w:r>
      <w:r>
        <w:t xml:space="preserve">,</w:t>
      </w:r>
      <w:r>
        <w:t xml:space="preserve"> </w:t>
      </w:r>
      <w:r>
        <w:t xml:space="preserve">“what does carr run on”</w:t>
      </w:r>
      <w:r>
        <w:t xml:space="preserve">.</w:t>
      </w:r>
    </w:p>
    <w:bookmarkStart w:id="17" w:name="how-its-built-and-hosted-today"/>
    <w:p>
      <w:pPr>
        <w:pStyle w:val="Heading2"/>
      </w:pPr>
      <w:r>
        <w:t xml:space="preserve">How it’s built and hosted today</w:t>
      </w:r>
    </w:p>
    <w:bookmarkStart w:id="9" w:name="layer-1-the-app-what-users-see"/>
    <w:p>
      <w:pPr>
        <w:pStyle w:val="Heading3"/>
      </w:pPr>
      <w:r>
        <w:t xml:space="preserve">Layer 1 — The App (what users see)</w:t>
      </w:r>
    </w:p>
    <w:p>
      <w:pPr>
        <w:pStyle w:val="FirstParagraph"/>
      </w:pPr>
      <w:r>
        <w:t xml:space="preserve">The CARR Intel Hub is a</w:t>
      </w:r>
      <w:r>
        <w:t xml:space="preserve"> </w:t>
      </w:r>
      <w:r>
        <w:rPr>
          <w:b/>
          <w:bCs/>
        </w:rPr>
        <w:t xml:space="preserve">React/Vite single-page application</w:t>
      </w:r>
      <w:r>
        <w:t xml:space="preserve"> </w:t>
      </w:r>
      <w:r>
        <w:t xml:space="preserve">(SPA) with 22+ pages: Accounts, Target Universe, Campaigns, Pipeline, Content Studio, Team Analytics, and more.</w:t>
      </w:r>
    </w:p>
    <w:p>
      <w:pPr>
        <w:pStyle w:val="BodyText"/>
      </w:pPr>
      <w:r>
        <w:rPr>
          <w:b/>
          <w:bCs/>
        </w:rPr>
        <w:t xml:space="preserve">How it’s built:</w:t>
      </w:r>
      <w:r>
        <w:t xml:space="preserve"> </w:t>
      </w:r>
      <w:r>
        <w:t xml:space="preserve">- Source code lives in</w:t>
      </w:r>
      <w:r>
        <w:t xml:space="preserve"> </w:t>
      </w:r>
      <w:r>
        <w:rPr>
          <w:b/>
          <w:bCs/>
        </w:rPr>
        <w:t xml:space="preserve">GitHub</w:t>
      </w:r>
      <w:r>
        <w:t xml:space="preserve"> </w:t>
      </w:r>
      <w:r>
        <w:t xml:space="preserve">(</w:t>
      </w:r>
      <w:r>
        <w:rPr>
          <w:rStyle w:val="VerbatimChar"/>
        </w:rPr>
        <w:t xml:space="preserve">carr-biosystems-hub</w:t>
      </w:r>
      <w:r>
        <w:t xml:space="preserve"> </w:t>
      </w:r>
      <w:r>
        <w:t xml:space="preserve">repository)</w:t>
      </w:r>
      <w:r>
        <w:t xml:space="preserve"> </w:t>
      </w:r>
      <w:r>
        <w:t xml:space="preserve">- Built with</w:t>
      </w:r>
      <w:r>
        <w:t xml:space="preserve"> </w:t>
      </w:r>
      <w:r>
        <w:rPr>
          <w:b/>
          <w:bCs/>
        </w:rPr>
        <w:t xml:space="preserve">React 18 + TypeScript + Vite</w:t>
      </w:r>
      <w:r>
        <w:t xml:space="preserve"> </w:t>
      </w:r>
      <w:r>
        <w:t xml:space="preserve">(standard modern web stack)</w:t>
      </w:r>
      <w:r>
        <w:t xml:space="preserve"> </w:t>
      </w:r>
      <w:r>
        <w:t xml:space="preserve">- Developed by BioCreative using Windsurf IDE; code changes are committed to GitHub</w:t>
      </w:r>
    </w:p>
    <w:p>
      <w:pPr>
        <w:pStyle w:val="BodyText"/>
      </w:pPr>
      <w:r>
        <w:rPr>
          <w:b/>
          <w:bCs/>
        </w:rPr>
        <w:t xml:space="preserve">How it’s hosted:</w:t>
      </w:r>
      <w:r>
        <w:t xml:space="preserve"> </w:t>
      </w:r>
      <w:r>
        <w:t xml:space="preserve">-</w:t>
      </w:r>
      <w:r>
        <w:t xml:space="preserve"> </w:t>
      </w:r>
      <w:r>
        <w:rPr>
          <w:b/>
          <w:bCs/>
        </w:rPr>
        <w:t xml:space="preserve">Lovable</w:t>
      </w:r>
      <w:r>
        <w:t xml:space="preserve"> </w:t>
      </w:r>
      <w:r>
        <w:t xml:space="preserve">watches the GitHub repo (via sync) and serves the compiled static files on its CDN</w:t>
      </w:r>
      <w:r>
        <w:t xml:space="preserve"> </w:t>
      </w:r>
      <w:r>
        <w:t xml:space="preserve">- A</w:t>
      </w:r>
      <w:r>
        <w:t xml:space="preserve"> </w:t>
      </w:r>
      <w:r>
        <w:rPr>
          <w:b/>
          <w:bCs/>
        </w:rPr>
        <w:t xml:space="preserve">custom domain</w:t>
      </w:r>
      <w:r>
        <w:t xml:space="preserve"> </w:t>
      </w:r>
      <w:r>
        <w:t xml:space="preserve">purchased by BioCreative points to Lovable’s hosting</w:t>
      </w:r>
      <w:r>
        <w:t xml:space="preserve"> </w:t>
      </w:r>
      <w:r>
        <w:t xml:space="preserve">-</w:t>
      </w:r>
      <w:r>
        <w:t xml:space="preserve"> </w:t>
      </w:r>
      <w:r>
        <w:rPr>
          <w:b/>
          <w:bCs/>
        </w:rPr>
        <w:t xml:space="preserve">Lovable is hosting only</w:t>
      </w:r>
      <w:r>
        <w:t xml:space="preserve"> </w:t>
      </w:r>
      <w:r>
        <w:t xml:space="preserve">— it provides no auth, no data, no build logic. It is purely a static-file CDN</w:t>
      </w:r>
    </w:p>
    <w:p>
      <w:pPr>
        <w:pStyle w:val="BodyText"/>
      </w:pPr>
      <w:r>
        <w:rPr>
          <w:b/>
          <w:bCs/>
        </w:rPr>
        <w:t xml:space="preserve">How login/access works:</w:t>
      </w:r>
      <w:r>
        <w:t xml:space="preserve"> </w:t>
      </w:r>
      <w:r>
        <w:t xml:space="preserve">- BioCreative manually adds users to the</w:t>
      </w:r>
      <w:r>
        <w:t xml:space="preserve"> </w:t>
      </w:r>
      <w:r>
        <w:rPr>
          <w:rStyle w:val="VerbatimChar"/>
        </w:rPr>
        <w:t xml:space="preserve">user_profiles</w:t>
      </w:r>
      <w:r>
        <w:t xml:space="preserve"> </w:t>
      </w:r>
      <w:r>
        <w:t xml:space="preserve">table in Supabase and creates their Supabase Auth credentials (email + password)</w:t>
      </w:r>
      <w:r>
        <w:t xml:space="preserve"> </w:t>
      </w:r>
      <w:r>
        <w:t xml:space="preserve">- The frontend uses</w:t>
      </w:r>
      <w:r>
        <w:t xml:space="preserve"> </w:t>
      </w:r>
      <w:r>
        <w:rPr>
          <w:rStyle w:val="VerbatimChar"/>
        </w:rPr>
        <w:t xml:space="preserve">supabase-js</w:t>
      </w:r>
      <w:r>
        <w:t xml:space="preserve"> </w:t>
      </w:r>
      <w:r>
        <w:t xml:space="preserve">to sign in (</w:t>
      </w:r>
      <w:r>
        <w:rPr>
          <w:rStyle w:val="VerbatimChar"/>
        </w:rPr>
        <w:t xml:space="preserve">signInWithPassword</w:t>
      </w:r>
      <w:r>
        <w:t xml:space="preserve">) and get a session JWT</w:t>
      </w:r>
      <w:r>
        <w:t xml:space="preserve"> </w:t>
      </w:r>
      <w:r>
        <w:t xml:space="preserve">- Every page checks: (1) valid session exists, (2) user’s</w:t>
      </w:r>
      <w:r>
        <w:t xml:space="preserve"> </w:t>
      </w:r>
      <w:r>
        <w:rPr>
          <w:rStyle w:val="VerbatimChar"/>
        </w:rPr>
        <w:t xml:space="preserve">is_active = true</w:t>
      </w:r>
      <w:r>
        <w:t xml:space="preserve"> </w:t>
      </w:r>
      <w:r>
        <w:t xml:space="preserve">in</w:t>
      </w:r>
      <w:r>
        <w:t xml:space="preserve"> </w:t>
      </w:r>
      <w:r>
        <w:rPr>
          <w:rStyle w:val="VerbatimChar"/>
        </w:rPr>
        <w:t xml:space="preserve">user_profiles</w:t>
      </w:r>
      <w:r>
        <w:t xml:space="preserve"> </w:t>
      </w:r>
      <w:r>
        <w:t xml:space="preserve">— shows the app or redirects to login</w:t>
      </w:r>
      <w:r>
        <w:t xml:space="preserve"> </w:t>
      </w:r>
      <w:r>
        <w:t xml:space="preserve">- The</w:t>
      </w:r>
      <w:r>
        <w:t xml:space="preserve"> </w:t>
      </w:r>
      <w:r>
        <w:rPr>
          <w:rStyle w:val="VerbatimChar"/>
        </w:rPr>
        <w:t xml:space="preserve">supabase-js</w:t>
      </w:r>
      <w:r>
        <w:t xml:space="preserve"> </w:t>
      </w:r>
      <w:r>
        <w:t xml:space="preserve">library also connects the frontend to PostgREST (the auto-generated API) and the Edge Functions</w:t>
      </w:r>
    </w:p>
    <w:p>
      <w:pPr>
        <w:pStyle w:val="BodyText"/>
      </w:pPr>
      <w:r>
        <w:rPr>
          <w:b/>
          <w:bCs/>
        </w:rPr>
        <w:t xml:space="preserve">What connects the app to the backend:</w:t>
      </w:r>
      <w:r>
        <w:t xml:space="preserve"> </w:t>
      </w:r>
      <w:r>
        <w:t xml:space="preserve">-</w:t>
      </w:r>
      <w:r>
        <w:t xml:space="preserve"> </w:t>
      </w:r>
      <w:r>
        <w:rPr>
          <w:b/>
          <w:bCs/>
        </w:rPr>
        <w:t xml:space="preserve">PostgREST</w:t>
      </w:r>
      <w:r>
        <w:t xml:space="preserve"> </w:t>
      </w:r>
      <w:r>
        <w:t xml:space="preserve">(Supabase’s auto-API): the frontend reads/writes data via</w:t>
      </w:r>
      <w:r>
        <w:t xml:space="preserve"> </w:t>
      </w:r>
      <w:r>
        <w:rPr>
          <w:rStyle w:val="VerbatimChar"/>
        </w:rPr>
        <w:t xml:space="preserve">supabase-js</w:t>
      </w:r>
      <w:r>
        <w:t xml:space="preserve"> </w:t>
      </w:r>
      <w:r>
        <w:t xml:space="preserve">→ PostgREST → Postgres, with RLS enforcing per-user access</w:t>
      </w:r>
      <w:r>
        <w:t xml:space="preserve"> </w:t>
      </w:r>
      <w:r>
        <w:t xml:space="preserve">-</w:t>
      </w:r>
      <w:r>
        <w:t xml:space="preserve"> </w:t>
      </w:r>
      <w:r>
        <w:rPr>
          <w:b/>
          <w:bCs/>
        </w:rPr>
        <w:t xml:space="preserve">Edge Functions</w:t>
      </w:r>
      <w:r>
        <w:t xml:space="preserve"> </w:t>
      </w:r>
      <w:r>
        <w:t xml:space="preserve">(Layer 2 below): the app also calls</w:t>
      </w:r>
      <w:r>
        <w:t xml:space="preserve"> </w:t>
      </w:r>
      <w:r>
        <w:rPr>
          <w:rStyle w:val="VerbatimChar"/>
        </w:rPr>
        <w:t xml:space="preserve">supabase-js</w:t>
      </w:r>
      <w:r>
        <w:t xml:space="preserve">’s</w:t>
      </w:r>
      <w:r>
        <w:t xml:space="preserve"> </w:t>
      </w:r>
      <w:r>
        <w:rPr>
          <w:rStyle w:val="VerbatimChar"/>
        </w:rPr>
        <w:t xml:space="preserve">functions.invoke()</w:t>
      </w:r>
      <w:r>
        <w:t xml:space="preserve"> </w:t>
      </w:r>
      <w:r>
        <w:t xml:space="preserve">to run the backend verbs</w:t>
      </w:r>
    </w:p>
    <w:bookmarkEnd w:id="9"/>
    <w:bookmarkStart w:id="10" w:name="layer-2-edge-functions-backend-logic"/>
    <w:p>
      <w:pPr>
        <w:pStyle w:val="Heading3"/>
      </w:pPr>
      <w:r>
        <w:t xml:space="preserve">Layer 2 — Edge Functions (backend logic)</w:t>
      </w:r>
    </w:p>
    <w:p>
      <w:pPr>
        <w:pStyle w:val="FirstParagraph"/>
      </w:pPr>
      <w:r>
        <w:t xml:space="preserve">Between the app and the database sits a tier of</w:t>
      </w:r>
      <w:r>
        <w:t xml:space="preserve"> </w:t>
      </w:r>
      <w:r>
        <w:rPr>
          <w:b/>
          <w:bCs/>
        </w:rPr>
        <w:t xml:space="preserve">26 Edge Functions</w:t>
      </w:r>
      <w:r>
        <w:t xml:space="preserve"> </w:t>
      </w:r>
      <w:r>
        <w:t xml:space="preserve">— Deno/TypeScript serverless functions that hold the backend logic the app calls.</w:t>
      </w:r>
      <w:r>
        <w:t xml:space="preserve"> </w:t>
      </w:r>
      <w:r>
        <w:rPr>
          <w:b/>
          <w:bCs/>
        </w:rPr>
        <w:t xml:space="preserve">Important:</w:t>
      </w:r>
      <w:r>
        <w:t xml:space="preserve"> </w:t>
      </w:r>
      <w:r>
        <w:t xml:space="preserve">these run on</w:t>
      </w:r>
      <w:r>
        <w:t xml:space="preserve"> </w:t>
      </w:r>
      <w:r>
        <w:rPr>
          <w:b/>
          <w:bCs/>
        </w:rPr>
        <w:t xml:space="preserve">Supabase Edge (Deno runtime)</w:t>
      </w:r>
      <w:r>
        <w:t xml:space="preserve">, which is</w:t>
      </w:r>
      <w:r>
        <w:t xml:space="preserve"> </w:t>
      </w:r>
      <w:r>
        <w:rPr>
          <w:i/>
          <w:iCs/>
        </w:rPr>
        <w:t xml:space="preserve">separate compute</w:t>
      </w:r>
      <w:r>
        <w:t xml:space="preserve"> </w:t>
      </w:r>
      <w:r>
        <w:t xml:space="preserve">from the Postgres database — they are not stored inside the DB. They are the</w:t>
      </w:r>
      <w:r>
        <w:t xml:space="preserve"> </w:t>
      </w:r>
      <w:r>
        <w:t xml:space="preserve">“back-end verbs”</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Group</w:t>
            </w:r>
          </w:p>
        </w:tc>
        <w:tc>
          <w:tcPr/>
          <w:p>
            <w:pPr>
              <w:pStyle w:val="Compact"/>
            </w:pPr>
            <w:r>
              <w:t xml:space="preserve">What these functions do</w:t>
            </w:r>
          </w:p>
        </w:tc>
      </w:tr>
      <w:tr>
        <w:tc>
          <w:tcPr/>
          <w:p>
            <w:pPr>
              <w:pStyle w:val="Compact"/>
            </w:pPr>
            <w:r>
              <w:rPr>
                <w:b/>
                <w:bCs/>
              </w:rPr>
              <w:t xml:space="preserve">AI / Content</w:t>
            </w:r>
          </w:p>
        </w:tc>
        <w:tc>
          <w:tcPr/>
          <w:p>
            <w:pPr>
              <w:pStyle w:val="Compact"/>
            </w:pPr>
            <w:r>
              <w:t xml:space="preserve">Generate messages + content via Claude/OpenAI (</w:t>
            </w:r>
            <w:r>
              <w:rPr>
                <w:rStyle w:val="VerbatimChar"/>
              </w:rPr>
              <w:t xml:space="preserve">generate-content</w:t>
            </w:r>
            <w:r>
              <w:t xml:space="preserve">, message generation)</w:t>
            </w:r>
          </w:p>
        </w:tc>
      </w:tr>
      <w:tr>
        <w:tc>
          <w:tcPr/>
          <w:p>
            <w:pPr>
              <w:pStyle w:val="Compact"/>
            </w:pPr>
            <w:r>
              <w:rPr>
                <w:b/>
                <w:bCs/>
              </w:rPr>
              <w:t xml:space="preserve">Outreach Sync</w:t>
            </w:r>
          </w:p>
        </w:tc>
        <w:tc>
          <w:tcPr/>
          <w:p>
            <w:pPr>
              <w:pStyle w:val="Compact"/>
            </w:pPr>
            <w:r>
              <w:t xml:space="preserve">Push sends to HeyReach + EmailBison and sync replies/stats back (~17 functions)</w:t>
            </w:r>
          </w:p>
        </w:tc>
      </w:tr>
      <w:tr>
        <w:tc>
          <w:tcPr/>
          <w:p>
            <w:pPr>
              <w:pStyle w:val="Compact"/>
            </w:pPr>
            <w:r>
              <w:rPr>
                <w:b/>
                <w:bCs/>
              </w:rPr>
              <w:t xml:space="preserve">Scoring / Classify</w:t>
            </w:r>
          </w:p>
        </w:tc>
        <w:tc>
          <w:tcPr/>
          <w:p>
            <w:pPr>
              <w:pStyle w:val="Compact"/>
            </w:pPr>
            <w:r>
              <w:t xml:space="preserve">ICP scoring, account classification, account matching</w:t>
            </w:r>
          </w:p>
        </w:tc>
      </w:tr>
      <w:tr>
        <w:tc>
          <w:tcPr/>
          <w:p>
            <w:pPr>
              <w:pStyle w:val="Compact"/>
            </w:pPr>
            <w:r>
              <w:rPr>
                <w:b/>
                <w:bCs/>
              </w:rPr>
              <w:t xml:space="preserve">Utility</w:t>
            </w:r>
          </w:p>
        </w:tc>
        <w:tc>
          <w:tcPr/>
          <w:p>
            <w:pPr>
              <w:pStyle w:val="Compact"/>
            </w:pPr>
            <w:r>
              <w:t xml:space="preserve">Imports, exports, webhook handlers, data validation</w:t>
            </w:r>
          </w:p>
        </w:tc>
      </w:tr>
    </w:tbl>
    <w:p>
      <w:pPr>
        <w:pStyle w:val="BodyText"/>
      </w:pPr>
      <w:r>
        <w:t xml:space="preserve">The app invokes them with a session JWT; they in turn talk to the database over SQL/PostgREST. Full census (all 26 + their Azure landing):</w:t>
      </w:r>
      <w:r>
        <w:t xml:space="preserve"> </w:t>
      </w:r>
      <w:r>
        <w:rPr>
          <w:rStyle w:val="VerbatimChar"/>
        </w:rPr>
        <w:t xml:space="preserve">08_edge_function_census.md</w:t>
      </w:r>
      <w:r>
        <w:t xml:space="preserve">.</w:t>
      </w:r>
    </w:p>
    <w:bookmarkEnd w:id="10"/>
    <w:bookmarkStart w:id="11" w:name="layer-3-the-database-the-engine-room"/>
    <w:p>
      <w:pPr>
        <w:pStyle w:val="Heading3"/>
      </w:pPr>
      <w:r>
        <w:t xml:space="preserve">Layer 3 — The Database (the engine room)</w:t>
      </w:r>
    </w:p>
    <w:p>
      <w:pPr>
        <w:pStyle w:val="FirstParagraph"/>
      </w:pPr>
      <w:r>
        <w:t xml:space="preserve">Everything the app does is powered by a</w:t>
      </w:r>
      <w:r>
        <w:t xml:space="preserve"> </w:t>
      </w:r>
      <w:r>
        <w:rPr>
          <w:b/>
          <w:bCs/>
        </w:rPr>
        <w:t xml:space="preserve">Supabase-hosted PostgreSQL</w:t>
      </w:r>
      <w:r>
        <w:t xml:space="preserve"> </w:t>
      </w:r>
      <w:r>
        <w:t xml:space="preserve">database. This is where the real value lives.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Component</w:t>
            </w:r>
          </w:p>
        </w:tc>
        <w:tc>
          <w:tcPr/>
          <w:p>
            <w:pPr>
              <w:pStyle w:val="Compact"/>
            </w:pPr>
            <w:r>
              <w:t xml:space="preserve">Count</w:t>
            </w:r>
          </w:p>
        </w:tc>
        <w:tc>
          <w:tcPr/>
          <w:p>
            <w:pPr>
              <w:pStyle w:val="Compact"/>
            </w:pPr>
            <w:r>
              <w:t xml:space="preserve">What it does</w:t>
            </w:r>
          </w:p>
        </w:tc>
      </w:tr>
      <w:tr>
        <w:tc>
          <w:tcPr/>
          <w:p>
            <w:pPr>
              <w:pStyle w:val="Compact"/>
            </w:pPr>
            <w:r>
              <w:rPr>
                <w:b/>
                <w:bCs/>
              </w:rPr>
              <w:t xml:space="preserve">Tables</w:t>
            </w:r>
          </w:p>
        </w:tc>
        <w:tc>
          <w:tcPr/>
          <w:p>
            <w:pPr>
              <w:pStyle w:val="Compact"/>
            </w:pPr>
            <w:r>
              <w:t xml:space="preserve">86</w:t>
            </w:r>
          </w:p>
        </w:tc>
        <w:tc>
          <w:tcPr/>
          <w:p>
            <w:pPr>
              <w:pStyle w:val="Compact"/>
            </w:pPr>
            <w:r>
              <w:t xml:space="preserve">Accounts, contacts, classifications, scoring, campaigns, outreach, engagement, news/signals, validation</w:t>
            </w:r>
          </w:p>
        </w:tc>
      </w:tr>
      <w:tr>
        <w:tc>
          <w:tcPr/>
          <w:p>
            <w:pPr>
              <w:pStyle w:val="Compact"/>
            </w:pPr>
            <w:r>
              <w:rPr>
                <w:b/>
                <w:bCs/>
              </w:rPr>
              <w:t xml:space="preserve">Views</w:t>
            </w:r>
          </w:p>
        </w:tc>
        <w:tc>
          <w:tcPr/>
          <w:p>
            <w:pPr>
              <w:pStyle w:val="Compact"/>
            </w:pPr>
            <w:r>
              <w:t xml:space="preserve">101</w:t>
            </w:r>
          </w:p>
        </w:tc>
        <w:tc>
          <w:tcPr/>
          <w:p>
            <w:pPr>
              <w:pStyle w:val="Compact"/>
            </w:pPr>
            <w:r>
              <w:t xml:space="preserve">Pre-joined queries for the frontend (rep dashboards, pipeline, analytics)</w:t>
            </w:r>
          </w:p>
        </w:tc>
      </w:tr>
      <w:tr>
        <w:tc>
          <w:tcPr/>
          <w:p>
            <w:pPr>
              <w:pStyle w:val="Compact"/>
            </w:pPr>
            <w:r>
              <w:rPr>
                <w:b/>
                <w:bCs/>
              </w:rPr>
              <w:t xml:space="preserve">Functions (PL/pgSQL)</w:t>
            </w:r>
          </w:p>
        </w:tc>
        <w:tc>
          <w:tcPr/>
          <w:p>
            <w:pPr>
              <w:pStyle w:val="Compact"/>
            </w:pPr>
            <w:r>
              <w:t xml:space="preserve">131</w:t>
            </w:r>
          </w:p>
        </w:tc>
        <w:tc>
          <w:tcPr/>
          <w:p>
            <w:pPr>
              <w:pStyle w:val="Compact"/>
            </w:pPr>
            <w:r>
              <w:t xml:space="preserve">Business logic: messaging strategy resolution, scoring, sync RPCs, campaign state machines</w:t>
            </w:r>
          </w:p>
        </w:tc>
      </w:tr>
      <w:tr>
        <w:tc>
          <w:tcPr/>
          <w:p>
            <w:pPr>
              <w:pStyle w:val="Compact"/>
            </w:pPr>
            <w:r>
              <w:rPr>
                <w:b/>
                <w:bCs/>
              </w:rPr>
              <w:t xml:space="preserve">RLS policies</w:t>
            </w:r>
          </w:p>
        </w:tc>
        <w:tc>
          <w:tcPr/>
          <w:p>
            <w:pPr>
              <w:pStyle w:val="Compact"/>
            </w:pPr>
            <w:r>
              <w:t xml:space="preserve">252</w:t>
            </w:r>
          </w:p>
        </w:tc>
        <w:tc>
          <w:tcPr/>
          <w:p>
            <w:pPr>
              <w:pStyle w:val="Compact"/>
            </w:pPr>
            <w:r>
              <w:t xml:space="preserve">Row-Level Security: every query is filtered by the authenticated user’s identity</w:t>
            </w:r>
          </w:p>
        </w:tc>
      </w:tr>
      <w:tr>
        <w:tc>
          <w:tcPr/>
          <w:p>
            <w:pPr>
              <w:pStyle w:val="Compact"/>
            </w:pPr>
            <w:r>
              <w:rPr>
                <w:b/>
                <w:bCs/>
              </w:rPr>
              <w:t xml:space="preserve">Triggers</w:t>
            </w:r>
          </w:p>
        </w:tc>
        <w:tc>
          <w:tcPr/>
          <w:p>
            <w:pPr>
              <w:pStyle w:val="Compact"/>
            </w:pPr>
            <w:r>
              <w:t xml:space="preserve">46</w:t>
            </w:r>
          </w:p>
        </w:tc>
        <w:tc>
          <w:tcPr/>
          <w:p>
            <w:pPr>
              <w:pStyle w:val="Compact"/>
            </w:pPr>
            <w:r>
              <w:t xml:space="preserve">Automated reactions (e.g., 300-char LinkedIn message guard, timestamp stamping)</w:t>
            </w:r>
          </w:p>
        </w:tc>
      </w:tr>
      <w:tr>
        <w:tc>
          <w:tcPr/>
          <w:p>
            <w:pPr>
              <w:pStyle w:val="Compact"/>
            </w:pPr>
            <w:r>
              <w:rPr>
                <w:b/>
                <w:bCs/>
              </w:rPr>
              <w:t xml:space="preserve">pg_cron jobs</w:t>
            </w:r>
          </w:p>
        </w:tc>
        <w:tc>
          <w:tcPr/>
          <w:p>
            <w:pPr>
              <w:pStyle w:val="Compact"/>
            </w:pPr>
            <w:r>
              <w:t xml:space="preserve">21</w:t>
            </w:r>
          </w:p>
        </w:tc>
        <w:tc>
          <w:tcPr/>
          <w:p>
            <w:pPr>
              <w:pStyle w:val="Compact"/>
            </w:pPr>
            <w:r>
              <w:t xml:space="preserve">Scheduled automation: HeyReach sync every 15 min, EmailBison push every 2h, news sync every 4h, daily rollups, weekly data pulls</w:t>
            </w:r>
          </w:p>
        </w:tc>
      </w:tr>
      <w:tr>
        <w:tc>
          <w:tcPr/>
          <w:p>
            <w:pPr>
              <w:pStyle w:val="Compact"/>
            </w:pPr>
            <w:r>
              <w:rPr>
                <w:b/>
                <w:bCs/>
              </w:rPr>
              <w:t xml:space="preserve">Vault secrets</w:t>
            </w:r>
          </w:p>
        </w:tc>
        <w:tc>
          <w:tcPr/>
          <w:p>
            <w:pPr>
              <w:pStyle w:val="Compact"/>
            </w:pPr>
            <w:r>
              <w:t xml:space="preserve">~15</w:t>
            </w:r>
          </w:p>
        </w:tc>
        <w:tc>
          <w:tcPr/>
          <w:p>
            <w:pPr>
              <w:pStyle w:val="Compact"/>
            </w:pPr>
            <w:r>
              <w:t xml:space="preserve">API keys (EmailBison, HeyReach, Anthropic, OpenAI, scrapers)</w:t>
            </w:r>
          </w:p>
        </w:tc>
      </w:tr>
      <w:tr>
        <w:tc>
          <w:tcPr/>
          <w:p>
            <w:pPr>
              <w:pStyle w:val="Compact"/>
            </w:pPr>
            <w:r>
              <w:rPr>
                <w:b/>
                <w:bCs/>
              </w:rPr>
              <w:t xml:space="preserve">Extensions</w:t>
            </w:r>
          </w:p>
        </w:tc>
        <w:tc>
          <w:tcPr/>
          <w:p>
            <w:pPr>
              <w:pStyle w:val="Compact"/>
            </w:pPr>
            <w:r>
              <w:t xml:space="preserve">pg_cron, pg_net, http, pgcrypto, supabase_vault, uuid-ossp, pg_stat_statements</w:t>
            </w:r>
          </w:p>
        </w:tc>
        <w:tc>
          <w:tcPr/>
          <w:p>
            <w:pPr>
              <w:pStyle w:val="Compact"/>
            </w:pPr>
          </w:p>
        </w:tc>
      </w:tr>
    </w:tbl>
    <w:p>
      <w:pPr>
        <w:pStyle w:val="BodyText"/>
      </w:pPr>
      <w:r>
        <w:rPr>
          <w:b/>
          <w:bCs/>
        </w:rPr>
        <w:t xml:space="preserve">Key point:</w:t>
      </w:r>
      <w:r>
        <w:t xml:space="preserve"> </w:t>
      </w:r>
      <w:r>
        <w:t xml:space="preserve">the database is not just storage — it is an active execution environment. The</w:t>
      </w:r>
      <w:r>
        <w:t xml:space="preserve"> </w:t>
      </w:r>
      <w:r>
        <w:rPr>
          <w:rStyle w:val="VerbatimChar"/>
        </w:rPr>
        <w:t xml:space="preserve">pg_cron</w:t>
      </w:r>
      <w:r>
        <w:t xml:space="preserve"> </w:t>
      </w:r>
      <w:r>
        <w:t xml:space="preserve">jobs,</w:t>
      </w:r>
      <w:r>
        <w:t xml:space="preserve"> </w:t>
      </w:r>
      <w:r>
        <w:rPr>
          <w:rStyle w:val="VerbatimChar"/>
        </w:rPr>
        <w:t xml:space="preserve">pg_net</w:t>
      </w:r>
      <w:r>
        <w:t xml:space="preserve">/</w:t>
      </w:r>
      <w:r>
        <w:rPr>
          <w:rStyle w:val="VerbatimChar"/>
        </w:rPr>
        <w:t xml:space="preserve">http</w:t>
      </w:r>
      <w:r>
        <w:t xml:space="preserve"> </w:t>
      </w:r>
      <w:r>
        <w:t xml:space="preserve">outbound calls, and triggers mean the database</w:t>
      </w:r>
      <w:r>
        <w:t xml:space="preserve"> </w:t>
      </w:r>
      <w:r>
        <w:rPr>
          <w:i/>
          <w:iCs/>
        </w:rPr>
        <w:t xml:space="preserve">does things on its own</w:t>
      </w:r>
      <w:r>
        <w:t xml:space="preserve"> </w:t>
      </w:r>
      <w:r>
        <w:t xml:space="preserve">without any user or frontend interaction.</w:t>
      </w:r>
    </w:p>
    <w:bookmarkEnd w:id="11"/>
    <w:bookmarkStart w:id="12" w:name="X6f9823844acf40a6eee527b9f1fc73327e33b6b"/>
    <w:p>
      <w:pPr>
        <w:pStyle w:val="Heading3"/>
      </w:pPr>
      <w:r>
        <w:t xml:space="preserve">Layer 4 — The Supply Chain (three separate things to replace)</w:t>
      </w:r>
    </w:p>
    <w:p>
      <w:pPr>
        <w:pStyle w:val="FirstParagraph"/>
      </w:pPr>
      <w:r>
        <w:t xml:space="preserve">The CARR database doesn’t fill itself. It is fed by a supply chain that runs</w:t>
      </w:r>
      <w:r>
        <w:t xml:space="preserve"> </w:t>
      </w:r>
      <w:r>
        <w:rPr>
          <w:i/>
          <w:iCs/>
        </w:rPr>
        <w:t xml:space="preserve">outside</w:t>
      </w:r>
      <w:r>
        <w:t xml:space="preserve"> </w:t>
      </w:r>
      <w:r>
        <w:t xml:space="preserve">the database on BC infrastructure. This layer is</w:t>
      </w:r>
      <w:r>
        <w:t xml:space="preserve"> </w:t>
      </w:r>
      <w:r>
        <w:rPr>
          <w:b/>
          <w:bCs/>
        </w:rPr>
        <w:t xml:space="preserve">three separate things</w:t>
      </w:r>
      <w:r>
        <w:t xml:space="preserve"> </w:t>
      </w:r>
      <w:r>
        <w:t xml:space="preserve">— and CARR has to stand up its own version of each. Keeping them separate matters because they are replaced in different ways: one is subscriptions, one is compute, one is SaaS workspaces.</w:t>
      </w:r>
    </w:p>
    <w:bookmarkEnd w:id="12"/>
    <w:bookmarkStart w:id="13" w:name="X90a882adc0ae20f9cbef173067f83114192e65c"/>
    <w:p>
      <w:pPr>
        <w:pStyle w:val="Heading3"/>
      </w:pPr>
      <w:r>
        <w:t xml:space="preserve">4a — Data-source APIs (the feeds that continually pull data in)</w:t>
      </w:r>
    </w:p>
    <w:p>
      <w:pPr>
        <w:pStyle w:val="FirstParagraph"/>
      </w:pPr>
      <w:r>
        <w:t xml:space="preserve">The raw material. These APIs are pinged on a schedule to pull in life-science intelligence and people data.</w:t>
      </w:r>
    </w:p>
    <w:p>
      <w:pPr>
        <w:pStyle w:val="Compact"/>
        <w:numPr>
          <w:ilvl w:val="0"/>
          <w:numId w:val="1001"/>
        </w:numPr>
      </w:pPr>
      <w:r>
        <w:rPr>
          <w:b/>
          <w:bCs/>
        </w:rPr>
        <w:t xml:space="preserve">Life-science + news feeds:</w:t>
      </w:r>
      <w:r>
        <w:t xml:space="preserve"> </w:t>
      </w:r>
      <w:r>
        <w:t xml:space="preserve">ClinicalTrials.gov (trials), NIH RePORTER (grants), SEC EDGAR (filings), PatentsView (patents), PubMed + 22+ RSS feeds (news/signal scoring)</w:t>
      </w:r>
    </w:p>
    <w:p>
      <w:pPr>
        <w:pStyle w:val="Compact"/>
        <w:numPr>
          <w:ilvl w:val="0"/>
          <w:numId w:val="1001"/>
        </w:numPr>
      </w:pPr>
      <w:r>
        <w:rPr>
          <w:b/>
          <w:bCs/>
        </w:rPr>
        <w:t xml:space="preserve">Sourcing + enrichment SaaS:</w:t>
      </w:r>
      <w:r>
        <w:t xml:space="preserve"> </w:t>
      </w:r>
      <w:r>
        <w:t xml:space="preserve">Sales Navigator (lead search definitions), PhantomBuster (scrapes Sales Nav → ~81K contacts), Clay (Find-People + contact enrichment), FullEnrich (email find + verify)</w:t>
      </w:r>
    </w:p>
    <w:p>
      <w:pPr>
        <w:pStyle w:val="FirstParagraph"/>
      </w:pPr>
      <w:r>
        <w:rPr>
          <w:b/>
          <w:bCs/>
        </w:rPr>
        <w:t xml:space="preserve">What CARR must stand up:</w:t>
      </w:r>
      <w:r>
        <w:t xml:space="preserve"> </w:t>
      </w:r>
      <w:r>
        <w:t xml:space="preserve">their</w:t>
      </w:r>
      <w:r>
        <w:t xml:space="preserve"> </w:t>
      </w:r>
      <w:r>
        <w:rPr>
          <w:b/>
          <w:bCs/>
        </w:rPr>
        <w:t xml:space="preserve">own API subscriptions + keys</w:t>
      </w:r>
      <w:r>
        <w:t xml:space="preserve"> </w:t>
      </w:r>
      <w:r>
        <w:t xml:space="preserve">for each third-party service, stored in Key Vault, plus the</w:t>
      </w:r>
      <w:r>
        <w:t xml:space="preserve"> </w:t>
      </w:r>
      <w:r>
        <w:rPr>
          <w:b/>
          <w:bCs/>
        </w:rPr>
        <w:t xml:space="preserve">integration code</w:t>
      </w:r>
      <w:r>
        <w:t xml:space="preserve"> </w:t>
      </w:r>
      <w:r>
        <w:t xml:space="preserve">(the pull/push chains) that calls them. This is a procurement + wiring task, not a rebuild.</w:t>
      </w:r>
    </w:p>
    <w:bookmarkEnd w:id="13"/>
    <w:bookmarkStart w:id="14" w:name="Xafc65520094b1752a77b9f1af14c68605f81ff9"/>
    <w:p>
      <w:pPr>
        <w:pStyle w:val="Heading3"/>
      </w:pPr>
      <w:r>
        <w:t xml:space="preserve">4b — The Agent Virtual Environment (the compute that does the work)</w:t>
      </w:r>
    </w:p>
    <w:p>
      <w:pPr>
        <w:pStyle w:val="FirstParagraph"/>
      </w:pPr>
      <w:r>
        <w:t xml:space="preserve">The APIs are just taps — something has to run continuously to open them, capture the results, and turn raw data into CARR-ready records. Today that</w:t>
      </w:r>
      <w:r>
        <w:t xml:space="preserve"> </w:t>
      </w:r>
      <w:r>
        <w:t xml:space="preserve">“something”</w:t>
      </w:r>
      <w:r>
        <w:t xml:space="preserve"> </w:t>
      </w:r>
      <w:r>
        <w:t xml:space="preserve">is BC’s virtual environment:</w:t>
      </w:r>
    </w:p>
    <w:p>
      <w:pPr>
        <w:pStyle w:val="Compact"/>
        <w:numPr>
          <w:ilvl w:val="0"/>
          <w:numId w:val="1002"/>
        </w:numPr>
      </w:pPr>
      <w:r>
        <w:rPr>
          <w:b/>
          <w:bCs/>
        </w:rPr>
        <w:t xml:space="preserve">bc-ops VPS crons:</w:t>
      </w:r>
      <w:r>
        <w:t xml:space="preserve"> </w:t>
      </w:r>
      <w:r>
        <w:rPr>
          <w:rStyle w:val="VerbatimChar"/>
        </w:rPr>
        <w:t xml:space="preserve">carr_burst_classify_seed.sh</w:t>
      </w:r>
      <w:r>
        <w:t xml:space="preserve"> </w:t>
      </w:r>
      <w:r>
        <w:t xml:space="preserve">(every 30 min),</w:t>
      </w:r>
      <w:r>
        <w:t xml:space="preserve"> </w:t>
      </w:r>
      <w:r>
        <w:rPr>
          <w:rStyle w:val="VerbatimChar"/>
        </w:rPr>
        <w:t xml:space="preserve">sync_carr_emails.py</w:t>
      </w:r>
      <w:r>
        <w:t xml:space="preserve"> </w:t>
      </w:r>
      <w:r>
        <w:t xml:space="preserve">(every 20 min), Clay push (manual)</w:t>
      </w:r>
    </w:p>
    <w:p>
      <w:pPr>
        <w:pStyle w:val="Compact"/>
        <w:numPr>
          <w:ilvl w:val="0"/>
          <w:numId w:val="1002"/>
        </w:numPr>
      </w:pPr>
      <w:r>
        <w:rPr>
          <w:b/>
          <w:bCs/>
        </w:rPr>
        <w:t xml:space="preserve">Colab notebooks:</w:t>
      </w:r>
      <w:r>
        <w:t xml:space="preserve"> </w:t>
      </w:r>
      <w:r>
        <w:t xml:space="preserve">account import, contact import, account matcher, classifier, enrichment, Clay orchestration, batch email generation — run manually against the CARR DB</w:t>
      </w:r>
    </w:p>
    <w:p>
      <w:pPr>
        <w:pStyle w:val="FirstParagraph"/>
      </w:pPr>
      <w:r>
        <w:rPr>
          <w:b/>
          <w:bCs/>
        </w:rPr>
        <w:t xml:space="preserve">The work this environment does, in sequence:</w:t>
      </w:r>
      <w:r>
        <w:t xml:space="preserve"> </w:t>
      </w:r>
      <w:r>
        <w:rPr>
          <w:b/>
          <w:bCs/>
        </w:rPr>
        <w:t xml:space="preserve">capture</w:t>
      </w:r>
      <w:r>
        <w:t xml:space="preserve"> </w:t>
      </w:r>
      <w:r>
        <w:t xml:space="preserve">(pull from the 4a APIs) →</w:t>
      </w:r>
      <w:r>
        <w:t xml:space="preserve"> </w:t>
      </w:r>
      <w:r>
        <w:rPr>
          <w:b/>
          <w:bCs/>
        </w:rPr>
        <w:t xml:space="preserve">summarize</w:t>
      </w:r>
      <w:r>
        <w:t xml:space="preserve"> </w:t>
      </w:r>
      <w:r>
        <w:t xml:space="preserve">(score/condense news + signals) →</w:t>
      </w:r>
      <w:r>
        <w:t xml:space="preserve"> </w:t>
      </w:r>
      <w:r>
        <w:rPr>
          <w:b/>
          <w:bCs/>
        </w:rPr>
        <w:t xml:space="preserve">match</w:t>
      </w:r>
      <w:r>
        <w:t xml:space="preserve"> </w:t>
      </w:r>
      <w:r>
        <w:t xml:space="preserve">(resolve to canonical CARR accounts) →</w:t>
      </w:r>
      <w:r>
        <w:t xml:space="preserve"> </w:t>
      </w:r>
      <w:r>
        <w:rPr>
          <w:b/>
          <w:bCs/>
        </w:rPr>
        <w:t xml:space="preserve">enrich</w:t>
      </w:r>
      <w:r>
        <w:t xml:space="preserve"> </w:t>
      </w:r>
      <w:r>
        <w:t xml:space="preserve">(fill contact/company fields) →</w:t>
      </w:r>
      <w:r>
        <w:t xml:space="preserve"> </w:t>
      </w:r>
      <w:r>
        <w:rPr>
          <w:b/>
          <w:bCs/>
        </w:rPr>
        <w:t xml:space="preserve">internalize</w:t>
      </w:r>
      <w:r>
        <w:t xml:space="preserve"> </w:t>
      </w:r>
      <w:r>
        <w:t xml:space="preserve">(write clean records into the CARR DB for downstream app work).</w:t>
      </w:r>
    </w:p>
    <w:p>
      <w:pPr>
        <w:pStyle w:val="BodyText"/>
      </w:pPr>
      <w:r>
        <w:rPr>
          <w:b/>
          <w:bCs/>
        </w:rPr>
        <w:t xml:space="preserve">What CARR must stand up:</w:t>
      </w:r>
      <w:r>
        <w:t xml:space="preserve"> </w:t>
      </w:r>
      <w:r>
        <w:t xml:space="preserve">their</w:t>
      </w:r>
      <w:r>
        <w:t xml:space="preserve"> </w:t>
      </w:r>
      <w:r>
        <w:rPr>
          <w:b/>
          <w:bCs/>
        </w:rPr>
        <w:t xml:space="preserve">own virtual environment</w:t>
      </w:r>
      <w:r>
        <w:t xml:space="preserve"> </w:t>
      </w:r>
      <w:r>
        <w:t xml:space="preserve">— a set of containers / scheduled jobs (Azure Container Apps + Functions timers, or a VPS) running the</w:t>
      </w:r>
      <w:r>
        <w:t xml:space="preserve"> </w:t>
      </w:r>
      <w:r>
        <w:rPr>
          <w:b/>
          <w:bCs/>
        </w:rPr>
        <w:t xml:space="preserve">7-agent fleet</w:t>
      </w:r>
      <w:r>
        <w:t xml:space="preserve"> </w:t>
      </w:r>
      <w:r>
        <w:t xml:space="preserve">(</w:t>
      </w:r>
      <w:r>
        <w:rPr>
          <w:rStyle w:val="VerbatimChar"/>
        </w:rPr>
        <w:t xml:space="preserve">11_carr_agent_fleet.md</w:t>
      </w:r>
      <w:r>
        <w:t xml:space="preserve">) that manages the 4a APIs and performs this enrich/normalize/match pipeline. This is the genuine build.</w:t>
      </w:r>
    </w:p>
    <w:bookmarkEnd w:id="14"/>
    <w:bookmarkStart w:id="15" w:name="c-outreach-platforms-bc-hub-send-seed"/>
    <w:p>
      <w:pPr>
        <w:pStyle w:val="Heading3"/>
      </w:pPr>
      <w:r>
        <w:t xml:space="preserve">4c — Outreach platforms + BC Hub (send + seed)</w:t>
      </w:r>
    </w:p>
    <w:p>
      <w:pPr>
        <w:pStyle w:val="FirstParagraph"/>
      </w:pPr>
      <w:r>
        <w:t xml:space="preserve">Distinct from the data-pull chain: the platforms that send outreach and the master DB that seeds CARR.</w:t>
      </w:r>
    </w:p>
    <w:p>
      <w:pPr>
        <w:pStyle w:val="Compact"/>
        <w:numPr>
          <w:ilvl w:val="0"/>
          <w:numId w:val="1003"/>
        </w:numPr>
      </w:pPr>
      <w:r>
        <w:rPr>
          <w:b/>
          <w:bCs/>
        </w:rPr>
        <w:t xml:space="preserve">HeyReach + EmailBison:</w:t>
      </w:r>
      <w:r>
        <w:t xml:space="preserve"> </w:t>
      </w:r>
      <w:r>
        <w:t xml:space="preserve">LinkedIn + email send platforms, wired via 17 Edge Functions (Layer 2). Both a</w:t>
      </w:r>
      <w:r>
        <w:t xml:space="preserve"> </w:t>
      </w:r>
      <w:r>
        <w:rPr>
          <w:b/>
          <w:bCs/>
        </w:rPr>
        <w:t xml:space="preserve">source</w:t>
      </w:r>
      <w:r>
        <w:t xml:space="preserve"> </w:t>
      </w:r>
      <w:r>
        <w:t xml:space="preserve">(replies, accepted connections sync back) and a</w:t>
      </w:r>
      <w:r>
        <w:t xml:space="preserve"> </w:t>
      </w:r>
      <w:r>
        <w:rPr>
          <w:b/>
          <w:bCs/>
        </w:rPr>
        <w:t xml:space="preserve">destination</w:t>
      </w:r>
      <w:r>
        <w:t xml:space="preserve"> </w:t>
      </w:r>
      <w:r>
        <w:t xml:space="preserve">(sends go out)</w:t>
      </w:r>
    </w:p>
    <w:p>
      <w:pPr>
        <w:pStyle w:val="Compact"/>
        <w:numPr>
          <w:ilvl w:val="0"/>
          <w:numId w:val="1003"/>
        </w:numPr>
      </w:pPr>
      <w:r>
        <w:rPr>
          <w:b/>
          <w:bCs/>
        </w:rPr>
        <w:t xml:space="preserve">BC Hub DB feed:</w:t>
      </w:r>
      <w:r>
        <w:t xml:space="preserve"> </w:t>
      </w:r>
      <w:r>
        <w:t xml:space="preserve">the BC Hub (</w:t>
      </w:r>
      <w:r>
        <w:rPr>
          <w:rStyle w:val="VerbatimChar"/>
        </w:rPr>
        <w:t xml:space="preserve">mjsgtszehjltxmbxtctz</w:t>
      </w:r>
      <w:r>
        <w:t xml:space="preserve">, 17,290-company master) seeds CARR via sync RPCs:</w:t>
      </w:r>
      <w:r>
        <w:t xml:space="preserve"> </w:t>
      </w:r>
      <w:r>
        <w:rPr>
          <w:rStyle w:val="VerbatimChar"/>
        </w:rPr>
        <w:t xml:space="preserve">sync_cgt_accounts_from_hub</w:t>
      </w:r>
      <w:r>
        <w:t xml:space="preserve">,</w:t>
      </w:r>
      <w:r>
        <w:t xml:space="preserve"> </w:t>
      </w:r>
      <w:r>
        <w:rPr>
          <w:rStyle w:val="VerbatimChar"/>
        </w:rPr>
        <w:t xml:space="preserve">sync_clinical_trials_from_hub</w:t>
      </w:r>
      <w:r>
        <w:t xml:space="preserve">,</w:t>
      </w:r>
      <w:r>
        <w:t xml:space="preserve"> </w:t>
      </w:r>
      <w:r>
        <w:rPr>
          <w:rStyle w:val="VerbatimChar"/>
        </w:rPr>
        <w:t xml:space="preserve">sync_grants_from_hub</w:t>
      </w:r>
      <w:r>
        <w:t xml:space="preserve">,</w:t>
      </w:r>
      <w:r>
        <w:t xml:space="preserve"> </w:t>
      </w:r>
      <w:r>
        <w:rPr>
          <w:rStyle w:val="VerbatimChar"/>
        </w:rPr>
        <w:t xml:space="preserve">sync_news_from_life_science</w:t>
      </w:r>
      <w:r>
        <w:t xml:space="preserve">,</w:t>
      </w:r>
      <w:r>
        <w:t xml:space="preserve"> </w:t>
      </w:r>
      <w:r>
        <w:rPr>
          <w:rStyle w:val="VerbatimChar"/>
        </w:rPr>
        <w:t xml:space="preserve">sync_academic_*_from_hub</w:t>
      </w:r>
      <w:r>
        <w:t xml:space="preserve">,</w:t>
      </w:r>
      <w:r>
        <w:t xml:space="preserve"> </w:t>
      </w:r>
      <w:r>
        <w:rPr>
          <w:rStyle w:val="VerbatimChar"/>
        </w:rPr>
        <w:t xml:space="preserve">import_hub_contacts</w:t>
      </w:r>
    </w:p>
    <w:p>
      <w:pPr>
        <w:pStyle w:val="FirstParagraph"/>
      </w:pPr>
      <w:r>
        <w:rPr>
          <w:b/>
          <w:bCs/>
        </w:rPr>
        <w:t xml:space="preserve">What CARR must stand up:</w:t>
      </w:r>
      <w:r>
        <w:t xml:space="preserve"> </w:t>
      </w:r>
      <w:r>
        <w:t xml:space="preserve">their</w:t>
      </w:r>
      <w:r>
        <w:t xml:space="preserve"> </w:t>
      </w:r>
      <w:r>
        <w:rPr>
          <w:b/>
          <w:bCs/>
        </w:rPr>
        <w:t xml:space="preserve">own HeyReach/EmailBison workspaces + keys</w:t>
      </w:r>
      <w:r>
        <w:t xml:space="preserve"> </w:t>
      </w:r>
      <w:r>
        <w:t xml:space="preserve">(the integration code moves with the Edge Functions). The</w:t>
      </w:r>
      <w:r>
        <w:t xml:space="preserve"> </w:t>
      </w:r>
      <w:r>
        <w:rPr>
          <w:b/>
          <w:bCs/>
        </w:rPr>
        <w:t xml:space="preserve">Hub is retired</w:t>
      </w:r>
      <w:r>
        <w:t xml:space="preserve"> </w:t>
      </w:r>
      <w:r>
        <w:t xml:space="preserve">over time — the 4b Ingestion agent pulls the 4a APIs directly instead of leaning on the Hub feed.</w:t>
      </w:r>
    </w:p>
    <w:bookmarkEnd w:id="15"/>
    <w:bookmarkStart w:id="16" w:name="the-pipeline-in-one-line"/>
    <w:p>
      <w:pPr>
        <w:pStyle w:val="Heading3"/>
      </w:pPr>
      <w:r>
        <w:t xml:space="preserve">The pipeline in one line</w:t>
      </w:r>
    </w:p>
    <w:p>
      <w:pPr>
        <w:pStyle w:val="SourceCode"/>
      </w:pPr>
      <w:r>
        <w:rPr>
          <w:rStyle w:val="VerbatimChar"/>
        </w:rPr>
        <w:t xml:space="preserve">4a APIs (pull)  →  4b Agent VE (capture · summarize · match · enrich · internalize)  →  CARR DB (Layer 3)  →  Edge Functions + app (Layers 2–1)</w:t>
      </w:r>
      <w:r>
        <w:br/>
      </w:r>
      <w:r>
        <w:rPr>
          <w:rStyle w:val="VerbatimChar"/>
        </w:rPr>
        <w:t xml:space="preserve">                                   ↕</w:t>
      </w:r>
      <w:r>
        <w:br/>
      </w:r>
      <w:r>
        <w:rPr>
          <w:rStyle w:val="VerbatimChar"/>
        </w:rPr>
        <w:t xml:space="preserve">                     4c Outreach (send) + Hub (seed)</w:t>
      </w:r>
    </w:p>
    <w:p>
      <w:pPr>
        <w:pStyle w:val="FirstParagraph"/>
      </w:pPr>
      <w:r>
        <w:rPr>
          <w:b/>
          <w:bCs/>
        </w:rPr>
        <w:t xml:space="preserve">This is the layer BW has the least visibility into today.</w:t>
      </w:r>
      <w:r>
        <w:t xml:space="preserve"> </w:t>
      </w:r>
      <w:r>
        <w:t xml:space="preserve">It runs entirely on BC infrastructure and pushes into CARR via webhooks and sync RPCs. The full inventory is in</w:t>
      </w:r>
      <w:r>
        <w:t xml:space="preserve"> </w:t>
      </w:r>
      <w:r>
        <w:rPr>
          <w:rStyle w:val="VerbatimChar"/>
        </w:rPr>
        <w:t xml:space="preserve">09_upstream_data_agents.md</w:t>
      </w:r>
      <w:r>
        <w:t xml:space="preserve">; the target-state fleet is in</w:t>
      </w:r>
      <w:r>
        <w:t xml:space="preserve"> </w:t>
      </w:r>
      <w:r>
        <w:rPr>
          <w:rStyle w:val="VerbatimChar"/>
        </w:rPr>
        <w:t xml:space="preserve">11_carr_agent_fleet.md</w:t>
      </w:r>
      <w:r>
        <w:t xml:space="preserve">.</w:t>
      </w:r>
    </w:p>
    <w:bookmarkEnd w:id="16"/>
    <w:bookmarkEnd w:id="17"/>
    <w:bookmarkStart w:id="18" w:name="migration-target-for-each-layer"/>
    <w:p>
      <w:pPr>
        <w:pStyle w:val="Heading2"/>
      </w:pPr>
      <w:r>
        <w:t xml:space="preserve">Migration target for each layer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Layer</w:t>
            </w:r>
          </w:p>
        </w:tc>
        <w:tc>
          <w:tcPr/>
          <w:p>
            <w:pPr>
              <w:pStyle w:val="Compact"/>
            </w:pPr>
            <w:r>
              <w:t xml:space="preserve">Current</w:t>
            </w:r>
          </w:p>
        </w:tc>
        <w:tc>
          <w:tcPr/>
          <w:p>
            <w:pPr>
              <w:pStyle w:val="Compact"/>
            </w:pPr>
            <w:r>
              <w:t xml:space="preserve">Azure target</w:t>
            </w:r>
          </w:p>
        </w:tc>
        <w:tc>
          <w:tcPr/>
          <w:p>
            <w:pPr>
              <w:pStyle w:val="Compact"/>
            </w:pPr>
            <w:r>
              <w:t xml:space="preserve">Effort</w:t>
            </w:r>
          </w:p>
        </w:tc>
        <w:tc>
          <w:tcPr/>
          <w:p>
            <w:pPr>
              <w:pStyle w:val="Compact"/>
            </w:pPr>
            <w:r>
              <w:t xml:space="preserve">Key doc</w:t>
            </w:r>
          </w:p>
        </w:tc>
      </w:tr>
      <w:tr>
        <w:tc>
          <w:tcPr/>
          <w:p>
            <w:pPr>
              <w:pStyle w:val="Compact"/>
            </w:pPr>
            <w:r>
              <w:rPr>
                <w:b/>
                <w:bCs/>
              </w:rPr>
              <w:t xml:space="preserve">1 — App (frontend)</w:t>
            </w:r>
          </w:p>
        </w:tc>
        <w:tc>
          <w:tcPr/>
          <w:p>
            <w:pPr>
              <w:pStyle w:val="Compact"/>
            </w:pPr>
            <w:r>
              <w:t xml:space="preserve">React/Vite on Lovable (hosting only) + Supabase Auth</w:t>
            </w:r>
          </w:p>
        </w:tc>
        <w:tc>
          <w:tcPr/>
          <w:p>
            <w:pPr>
              <w:pStyle w:val="Compact"/>
            </w:pPr>
            <w:r>
              <w:t xml:space="preserve">Azure Static Web Apps (host) +</w:t>
            </w:r>
            <w:r>
              <w:t xml:space="preserve"> </w:t>
            </w:r>
            <w:r>
              <w:rPr>
                <w:b/>
                <w:bCs/>
              </w:rPr>
              <w:t xml:space="preserve">Entra workforce auth</w:t>
            </w:r>
            <w:r>
              <w:t xml:space="preserve"> </w:t>
            </w:r>
            <w:r>
              <w:t xml:space="preserve">(MSAL) + custom API middleware</w:t>
            </w:r>
          </w:p>
        </w:tc>
        <w:tc>
          <w:tcPr/>
          <w:p>
            <w:pPr>
              <w:pStyle w:val="Compact"/>
            </w:pPr>
            <w:r>
              <w:rPr>
                <w:b/>
                <w:bCs/>
              </w:rPr>
              <w:t xml:space="preserve">M</w:t>
            </w:r>
            <w:r>
              <w:t xml:space="preserve"> </w:t>
            </w:r>
            <w:r>
              <w:t xml:space="preserve">— hosting swap is trivial; auth replacement is the real work</w:t>
            </w:r>
          </w:p>
        </w:tc>
        <w:tc>
          <w:tcPr/>
          <w:p>
            <w:pPr>
              <w:pStyle w:val="Compact"/>
            </w:pPr>
            <w:r>
              <w:rPr>
                <w:rStyle w:val="VerbatimChar"/>
              </w:rPr>
              <w:t xml:space="preserve">03</w:t>
            </w:r>
            <w:r>
              <w:t xml:space="preserve">,</w:t>
            </w:r>
            <w:r>
              <w:t xml:space="preserve"> </w:t>
            </w:r>
            <w:r>
              <w:rPr>
                <w:rStyle w:val="VerbatimChar"/>
              </w:rPr>
              <w:t xml:space="preserve">04</w:t>
            </w:r>
          </w:p>
        </w:tc>
      </w:tr>
      <w:tr>
        <w:tc>
          <w:tcPr/>
          <w:p>
            <w:pPr>
              <w:pStyle w:val="Compact"/>
            </w:pPr>
            <w:r>
              <w:rPr>
                <w:b/>
                <w:bCs/>
              </w:rPr>
              <w:t xml:space="preserve">2 — Edge Functions</w:t>
            </w:r>
          </w:p>
        </w:tc>
        <w:tc>
          <w:tcPr/>
          <w:p>
            <w:pPr>
              <w:pStyle w:val="Compact"/>
            </w:pPr>
            <w:r>
              <w:t xml:space="preserve">26 Deno/TS functions on Supabase Edge (separate compute from Postgres)</w:t>
            </w:r>
          </w:p>
        </w:tc>
        <w:tc>
          <w:tcPr/>
          <w:p>
            <w:pPr>
              <w:pStyle w:val="Compact"/>
            </w:pPr>
            <w:r>
              <w:rPr>
                <w:b/>
                <w:bCs/>
              </w:rPr>
              <w:t xml:space="preserve">Azure Functions</w:t>
            </w:r>
            <w:r>
              <w:t xml:space="preserve"> </w:t>
            </w:r>
            <w:r>
              <w:t xml:space="preserve">(Node/TS) or Deno on Container Apps + Foundry Model Router + Key Vault</w:t>
            </w:r>
          </w:p>
        </w:tc>
        <w:tc>
          <w:tcPr/>
          <w:p>
            <w:pPr>
              <w:pStyle w:val="Compact"/>
            </w:pPr>
            <w:r>
              <w:rPr>
                <w:b/>
                <w:bCs/>
              </w:rPr>
              <w:t xml:space="preserve">M</w:t>
            </w:r>
            <w:r>
              <w:t xml:space="preserve"> </w:t>
            </w:r>
            <w:r>
              <w:t xml:space="preserve">per group,</w:t>
            </w:r>
            <w:r>
              <w:t xml:space="preserve"> </w:t>
            </w:r>
            <w:r>
              <w:rPr>
                <w:b/>
                <w:bCs/>
              </w:rPr>
              <w:t xml:space="preserve">L</w:t>
            </w:r>
            <w:r>
              <w:t xml:space="preserve"> </w:t>
            </w:r>
            <w:r>
              <w:t xml:space="preserve">in aggregate</w:t>
            </w:r>
          </w:p>
        </w:tc>
        <w:tc>
          <w:tcPr/>
          <w:p>
            <w:pPr>
              <w:pStyle w:val="Compact"/>
            </w:pPr>
            <w:r>
              <w:rPr>
                <w:rStyle w:val="VerbatimChar"/>
              </w:rPr>
              <w:t xml:space="preserve">08</w:t>
            </w:r>
          </w:p>
        </w:tc>
      </w:tr>
      <w:tr>
        <w:tc>
          <w:tcPr/>
          <w:p>
            <w:pPr>
              <w:pStyle w:val="Compact"/>
            </w:pPr>
            <w:r>
              <w:rPr>
                <w:b/>
                <w:bCs/>
              </w:rPr>
              <w:t xml:space="preserve">3 — Database</w:t>
            </w:r>
          </w:p>
        </w:tc>
        <w:tc>
          <w:tcPr/>
          <w:p>
            <w:pPr>
              <w:pStyle w:val="Compact"/>
            </w:pPr>
            <w:r>
              <w:t xml:space="preserve">Supabase Postgres</w:t>
            </w:r>
          </w:p>
        </w:tc>
        <w:tc>
          <w:tcPr/>
          <w:p>
            <w:pPr>
              <w:pStyle w:val="Compact"/>
            </w:pPr>
            <w:r>
              <w:rPr>
                <w:b/>
                <w:bCs/>
              </w:rPr>
              <w:t xml:space="preserve">Azure SQL</w:t>
            </w:r>
            <w:r>
              <w:t xml:space="preserve"> </w:t>
            </w:r>
            <w:r>
              <w:t xml:space="preserve">(T-SQL rewrite) — functions, RLS, triggers, crons all rewritten</w:t>
            </w:r>
          </w:p>
        </w:tc>
        <w:tc>
          <w:tcPr/>
          <w:p>
            <w:pPr>
              <w:pStyle w:val="Compact"/>
            </w:pPr>
            <w:r>
              <w:rPr>
                <w:b/>
                <w:bCs/>
              </w:rPr>
              <w:t xml:space="preserve">L</w:t>
            </w:r>
            <w:r>
              <w:t xml:space="preserve"> </w:t>
            </w:r>
            <w:r>
              <w:t xml:space="preserve">— major rewrite, not a port</w:t>
            </w:r>
          </w:p>
        </w:tc>
        <w:tc>
          <w:tcPr/>
          <w:p>
            <w:pPr>
              <w:pStyle w:val="Compact"/>
            </w:pPr>
            <w:r>
              <w:rPr>
                <w:rStyle w:val="VerbatimChar"/>
              </w:rPr>
              <w:t xml:space="preserve">07</w:t>
            </w:r>
          </w:p>
        </w:tc>
      </w:tr>
      <w:tr>
        <w:tc>
          <w:tcPr/>
          <w:p>
            <w:pPr>
              <w:pStyle w:val="Compact"/>
            </w:pPr>
            <w:r>
              <w:rPr>
                <w:b/>
                <w:bCs/>
              </w:rPr>
              <w:t xml:space="preserve">4a — APIs</w:t>
            </w:r>
          </w:p>
        </w:tc>
        <w:tc>
          <w:tcPr/>
          <w:p>
            <w:pPr>
              <w:pStyle w:val="Compact"/>
            </w:pPr>
            <w:r>
              <w:t xml:space="preserve">BC-held third-party subscriptions + keys (life-sci/news feeds + sourcing/enrichment SaaS)</w:t>
            </w:r>
          </w:p>
        </w:tc>
        <w:tc>
          <w:tcPr/>
          <w:p>
            <w:pPr>
              <w:pStyle w:val="Compact"/>
            </w:pPr>
            <w:r>
              <w:t xml:space="preserve">CARR’s</w:t>
            </w:r>
            <w:r>
              <w:t xml:space="preserve"> </w:t>
            </w:r>
            <w:r>
              <w:rPr>
                <w:b/>
                <w:bCs/>
              </w:rPr>
              <w:t xml:space="preserve">own subscriptions + keys</w:t>
            </w:r>
            <w:r>
              <w:t xml:space="preserve"> </w:t>
            </w:r>
            <w:r>
              <w:t xml:space="preserve">(Key Vault) + integration code</w:t>
            </w:r>
          </w:p>
        </w:tc>
        <w:tc>
          <w:tcPr/>
          <w:p>
            <w:pPr>
              <w:pStyle w:val="Compact"/>
            </w:pPr>
            <w:r>
              <w:rPr>
                <w:b/>
                <w:bCs/>
              </w:rPr>
              <w:t xml:space="preserve">S–M</w:t>
            </w:r>
            <w:r>
              <w:t xml:space="preserve"> </w:t>
            </w:r>
            <w:r>
              <w:t xml:space="preserve">— procurement + wiring, not a rebuild</w:t>
            </w:r>
          </w:p>
        </w:tc>
        <w:tc>
          <w:tcPr/>
          <w:p>
            <w:pPr>
              <w:pStyle w:val="Compact"/>
            </w:pPr>
            <w:r>
              <w:rPr>
                <w:rStyle w:val="VerbatimChar"/>
              </w:rPr>
              <w:t xml:space="preserve">09</w:t>
            </w:r>
          </w:p>
        </w:tc>
      </w:tr>
      <w:tr>
        <w:tc>
          <w:tcPr/>
          <w:p>
            <w:pPr>
              <w:pStyle w:val="Compact"/>
            </w:pPr>
            <w:r>
              <w:rPr>
                <w:b/>
                <w:bCs/>
              </w:rPr>
              <w:t xml:space="preserve">4b — Agent VE</w:t>
            </w:r>
          </w:p>
        </w:tc>
        <w:tc>
          <w:tcPr/>
          <w:p>
            <w:pPr>
              <w:pStyle w:val="Compact"/>
            </w:pPr>
            <w:r>
              <w:t xml:space="preserve">BC virtual environment (bc-ops crons + Colab) that captures/matches/enriches/internalizes</w:t>
            </w:r>
          </w:p>
        </w:tc>
        <w:tc>
          <w:tcPr/>
          <w:p>
            <w:pPr>
              <w:pStyle w:val="Compact"/>
            </w:pPr>
            <w:r>
              <w:t xml:space="preserve">CARR’s</w:t>
            </w:r>
            <w:r>
              <w:t xml:space="preserve"> </w:t>
            </w:r>
            <w:r>
              <w:rPr>
                <w:b/>
                <w:bCs/>
              </w:rPr>
              <w:t xml:space="preserve">own virtual environment</w:t>
            </w:r>
            <w:r>
              <w:t xml:space="preserve"> </w:t>
            </w:r>
            <w:r>
              <w:t xml:space="preserve">(Container Apps + Functions timers) running the</w:t>
            </w:r>
            <w:r>
              <w:t xml:space="preserve"> </w:t>
            </w:r>
            <w:r>
              <w:rPr>
                <w:b/>
                <w:bCs/>
              </w:rPr>
              <w:t xml:space="preserve">7-agent fleet</w:t>
            </w:r>
          </w:p>
        </w:tc>
        <w:tc>
          <w:tcPr/>
          <w:p>
            <w:pPr>
              <w:pStyle w:val="Compact"/>
            </w:pPr>
            <w:r>
              <w:rPr>
                <w:b/>
                <w:bCs/>
              </w:rPr>
              <w:t xml:space="preserve">L</w:t>
            </w:r>
            <w:r>
              <w:t xml:space="preserve"> </w:t>
            </w:r>
            <w:r>
              <w:t xml:space="preserve">— the genuine build</w:t>
            </w:r>
          </w:p>
        </w:tc>
        <w:tc>
          <w:tcPr/>
          <w:p>
            <w:pPr>
              <w:pStyle w:val="Compact"/>
            </w:pPr>
            <w:r>
              <w:rPr>
                <w:rStyle w:val="VerbatimChar"/>
              </w:rPr>
              <w:t xml:space="preserve">09</w:t>
            </w:r>
            <w:r>
              <w:t xml:space="preserve">,</w:t>
            </w:r>
            <w:r>
              <w:t xml:space="preserve"> </w:t>
            </w:r>
            <w:r>
              <w:rPr>
                <w:rStyle w:val="VerbatimChar"/>
              </w:rPr>
              <w:t xml:space="preserve">11</w:t>
            </w:r>
          </w:p>
        </w:tc>
      </w:tr>
      <w:tr>
        <w:tc>
          <w:tcPr/>
          <w:p>
            <w:pPr>
              <w:pStyle w:val="Compact"/>
            </w:pPr>
            <w:r>
              <w:rPr>
                <w:b/>
                <w:bCs/>
              </w:rPr>
              <w:t xml:space="preserve">4c — Outreach + Hub</w:t>
            </w:r>
          </w:p>
        </w:tc>
        <w:tc>
          <w:tcPr/>
          <w:p>
            <w:pPr>
              <w:pStyle w:val="Compact"/>
            </w:pPr>
            <w:r>
              <w:t xml:space="preserve">HeyReach/EmailBison (BC workspaces) + BC Hub feed</w:t>
            </w:r>
          </w:p>
        </w:tc>
        <w:tc>
          <w:tcPr/>
          <w:p>
            <w:pPr>
              <w:pStyle w:val="Compact"/>
            </w:pPr>
            <w:r>
              <w:t xml:space="preserve">CARR’s</w:t>
            </w:r>
            <w:r>
              <w:t xml:space="preserve"> </w:t>
            </w:r>
            <w:r>
              <w:rPr>
                <w:b/>
                <w:bCs/>
              </w:rPr>
              <w:t xml:space="preserve">own HeyReach/EmailBison workspaces</w:t>
            </w:r>
            <w:r>
              <w:t xml:space="preserve">; Hub</w:t>
            </w:r>
            <w:r>
              <w:t xml:space="preserve"> </w:t>
            </w:r>
            <w:r>
              <w:rPr>
                <w:b/>
                <w:bCs/>
              </w:rPr>
              <w:t xml:space="preserve">retired</w:t>
            </w:r>
            <w:r>
              <w:t xml:space="preserve"> </w:t>
            </w:r>
            <w:r>
              <w:t xml:space="preserve">via the Ingestion agent</w:t>
            </w:r>
          </w:p>
        </w:tc>
        <w:tc>
          <w:tcPr/>
          <w:p>
            <w:pPr>
              <w:pStyle w:val="Compact"/>
            </w:pPr>
            <w:r>
              <w:rPr>
                <w:b/>
                <w:bCs/>
              </w:rPr>
              <w:t xml:space="preserve">M</w:t>
            </w:r>
            <w:r>
              <w:t xml:space="preserve"> </w:t>
            </w:r>
            <w:r>
              <w:t xml:space="preserve">— workspaces + phased Hub retirement</w:t>
            </w:r>
          </w:p>
        </w:tc>
        <w:tc>
          <w:tcPr/>
          <w:p>
            <w:pPr>
              <w:pStyle w:val="Compact"/>
            </w:pPr>
            <w:r>
              <w:rPr>
                <w:rStyle w:val="VerbatimChar"/>
              </w:rPr>
              <w:t xml:space="preserve">09</w:t>
            </w:r>
            <w:r>
              <w:t xml:space="preserve">,</w:t>
            </w:r>
            <w:r>
              <w:t xml:space="preserve"> </w:t>
            </w:r>
            <w:r>
              <w:rPr>
                <w:rStyle w:val="VerbatimChar"/>
              </w:rPr>
              <w:t xml:space="preserve">11</w:t>
            </w:r>
          </w:p>
        </w:tc>
      </w:tr>
    </w:tbl>
    <w:p>
      <w:pPr>
        <w:pStyle w:val="BodyText"/>
      </w:pPr>
      <w:r>
        <w:t xml:space="preserve">The full component-by-component crosswalk is in</w:t>
      </w:r>
      <w:r>
        <w:t xml:space="preserve"> </w:t>
      </w:r>
      <w:r>
        <w:rPr>
          <w:rStyle w:val="VerbatimChar"/>
        </w:rPr>
        <w:t xml:space="preserve">05_carr_migration_map.md</w:t>
      </w:r>
      <w:r>
        <w:t xml:space="preserve">. The sequenced migration plan with decisions and blockers is in</w:t>
      </w:r>
      <w:r>
        <w:t xml:space="preserve"> </w:t>
      </w:r>
      <w:r>
        <w:rPr>
          <w:rStyle w:val="VerbatimChar"/>
        </w:rPr>
        <w:t xml:space="preserve">18_migration_roadmap.md</w:t>
      </w:r>
      <w:r>
        <w:t xml:space="preserve">.</w:t>
      </w:r>
    </w:p>
    <w:bookmarkEnd w:id="18"/>
    <w:bookmarkEnd w:id="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Architecture Overview</dc:title>
  <dc:creator>BioCreative Strategies; Prepared for CARR Biosystems (Barry-Wehmiller)</dc:creator>
  <cp:keywords/>
  <dcterms:created xsi:type="dcterms:W3CDTF">2026-08-07T19:37:22Z</dcterms:created>
  <dcterms:modified xsi:type="dcterms:W3CDTF">2026-08-07T19:37:22Z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August 07, 2026</vt:lpwstr>
  </property>
</Properties>
</file>