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Migration Roadmap</w:t>
      </w:r>
    </w:p>
    <w:p>
      <w:pPr>
        <w:pStyle w:val="Author"/>
      </w:pPr>
      <w:r>
        <w:t xml:space="preserve">BioCreative Strategies</w:t>
      </w:r>
    </w:p>
    <w:p>
      <w:pPr>
        <w:pStyle w:val="Author"/>
      </w:pPr>
      <w:r>
        <w:t xml:space="preserve">Prepared for CARR Biosystems (Barry-Wehmiller)</w:t>
      </w:r>
    </w:p>
    <w:p>
      <w:pPr>
        <w:pStyle w:val="Date"/>
      </w:pPr>
      <w:r>
        <w:t xml:space="preserve">August 07,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5" w:name="Xbe61e6d6529bc20b55ee576a4d0b719074de4d1"/>
    <w:p>
      <w:pPr>
        <w:pStyle w:val="Heading1"/>
      </w:pPr>
      <w:r>
        <w:t xml:space="preserve">18 - Migration Roadmap: Phases, Decisions &amp; Blockers</w:t>
      </w:r>
    </w:p>
    <w:p>
      <w:pPr>
        <w:pStyle w:val="BlockText"/>
      </w:pPr>
      <w:r>
        <w:rPr>
          <w:b/>
          <w:bCs/>
        </w:rPr>
        <w:t xml:space="preserve">The sequenced plan for moving CARR from Supabase to Barry-Wehmiller’s Azure environment.</w:t>
      </w:r>
      <w:r>
        <w:t xml:space="preserve"> </w:t>
      </w:r>
      <w:r>
        <w:t xml:space="preserve">Shows what’s been completed, what comes next (in order), which decisions BW/CARR must make, and what blocks what. This is the</w:t>
      </w:r>
      <w:r>
        <w:t xml:space="preserve"> </w:t>
      </w:r>
      <w:r>
        <w:t xml:space="preserve">“what happens and when”</w:t>
      </w:r>
      <w:r>
        <w:t xml:space="preserve"> </w:t>
      </w:r>
      <w:r>
        <w:t xml:space="preserve">companion to the architecture overview in</w:t>
      </w:r>
      <w:r>
        <w:t xml:space="preserve"> </w:t>
      </w:r>
      <w:r>
        <w:rPr>
          <w:rStyle w:val="VerbatimChar"/>
        </w:rPr>
        <w:t xml:space="preserve">17</w:t>
      </w:r>
      <w:r>
        <w:t xml:space="preserve">.</w:t>
      </w:r>
      <w:r>
        <w:t xml:space="preserve"> </w:t>
      </w:r>
      <w:r>
        <w:rPr>
          <w:b/>
          <w:bCs/>
        </w:rPr>
        <w:t xml:space="preserve">Triggers:</w:t>
      </w:r>
      <w:r>
        <w:t xml:space="preserve"> </w:t>
      </w:r>
      <w:r>
        <w:t xml:space="preserve">“migration plan”</w:t>
      </w:r>
      <w:r>
        <w:t xml:space="preserve">,</w:t>
      </w:r>
      <w:r>
        <w:t xml:space="preserve"> </w:t>
      </w:r>
      <w:r>
        <w:t xml:space="preserve">“roadmap”</w:t>
      </w:r>
      <w:r>
        <w:t xml:space="preserve">,</w:t>
      </w:r>
      <w:r>
        <w:t xml:space="preserve"> </w:t>
      </w:r>
      <w:r>
        <w:t xml:space="preserve">“phases”</w:t>
      </w:r>
      <w:r>
        <w:t xml:space="preserve">,</w:t>
      </w:r>
      <w:r>
        <w:t xml:space="preserve"> </w:t>
      </w:r>
      <w:r>
        <w:t xml:space="preserve">“what’s next”</w:t>
      </w:r>
      <w:r>
        <w:t xml:space="preserve">,</w:t>
      </w:r>
      <w:r>
        <w:t xml:space="preserve"> </w:t>
      </w:r>
      <w:r>
        <w:t xml:space="preserve">“decisions needed”</w:t>
      </w:r>
      <w:r>
        <w:t xml:space="preserve">,</w:t>
      </w:r>
      <w:r>
        <w:t xml:space="preserve"> </w:t>
      </w:r>
      <w:r>
        <w:t xml:space="preserve">“blockers”</w:t>
      </w:r>
      <w:r>
        <w:t xml:space="preserve">,</w:t>
      </w:r>
      <w:r>
        <w:t xml:space="preserve"> </w:t>
      </w:r>
      <w:r>
        <w:t xml:space="preserve">“sequencing”</w:t>
      </w:r>
      <w:r>
        <w:t xml:space="preserve">,</w:t>
      </w:r>
      <w:r>
        <w:t xml:space="preserve"> </w:t>
      </w:r>
      <w:r>
        <w:t xml:space="preserve">“timeline”</w:t>
      </w:r>
      <w:r>
        <w:t xml:space="preserve">.</w:t>
      </w:r>
      <w:r>
        <w:t xml:space="preserve"> </w:t>
      </w:r>
      <w:r>
        <w:rPr>
          <w:b/>
          <w:bCs/>
        </w:rPr>
        <w:t xml:space="preserve">Updated:</w:t>
      </w:r>
      <w:r>
        <w:t xml:space="preserve"> </w:t>
      </w:r>
      <w:r>
        <w:t xml:space="preserve">2026-08-07.</w:t>
      </w:r>
    </w:p>
    <w:bookmarkStart w:id="9" w:name="where-we-are-now-status-summary"/>
    <w:p>
      <w:pPr>
        <w:pStyle w:val="Heading2"/>
      </w:pPr>
      <w:r>
        <w:t xml:space="preserve">Where we are now (status summary)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Azure SQL database provisioned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cbsuse-sql01.database.windows.net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siplatform</w:t>
      </w:r>
      <w:r>
        <w:t xml:space="preserve"> </w:t>
      </w:r>
      <w:r>
        <w:t xml:space="preserve">is stood up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Identity resolved</w:t>
      </w:r>
      <w:r>
        <w:t xml:space="preserve"> </w:t>
      </w:r>
      <w:r>
        <w:t xml:space="preserve">— all users are BW-internal (CARR is a BW subsidiary); straight Entra workforce auth, no External ID complexity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Migration doc pack complete</w:t>
      </w:r>
      <w:r>
        <w:t xml:space="preserve"> </w:t>
      </w:r>
      <w:r>
        <w:t xml:space="preserve">— 18 documents covering every layer, shared on the co-branded site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Agent-building stack shared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16_agent_building_stack.md</w:t>
      </w:r>
      <w:r>
        <w:t xml:space="preserve"> </w:t>
      </w:r>
      <w:r>
        <w:t xml:space="preserve">sent to Colby, Saeed, Blake (2026-07-21)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GitHub Enterprise migration underway</w:t>
      </w:r>
      <w:r>
        <w:t xml:space="preserve"> </w:t>
      </w:r>
      <w:r>
        <w:t xml:space="preserve">— repo transfer to BW Enterprise GitHub in progress (Workstream B, Madhavan + Binoy)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BW email credentials for Brian Elbert</w:t>
      </w:r>
      <w:r>
        <w:t xml:space="preserve"> </w:t>
      </w:r>
      <w:r>
        <w:t xml:space="preserve">— issued 2026-07-27; Entra auth + MFA confirmed working</w:t>
      </w:r>
    </w:p>
    <w:p>
      <w:pPr>
        <w:pStyle w:val="Compact"/>
        <w:numPr>
          <w:ilvl w:val="0"/>
          <w:numId w:val="1001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Network path — RESOLVED. AVD provisioned 2026-08-06.</w:t>
      </w:r>
      <w:r>
        <w:t xml:space="preserve"> </w:t>
      </w:r>
      <w:r>
        <w:t xml:space="preserve">The former blocker (</w:t>
      </w:r>
      <w:r>
        <w:rPr>
          <w:rStyle w:val="VerbatimChar"/>
        </w:rPr>
        <w:t xml:space="preserve">cbsuse-sql01</w:t>
      </w:r>
      <w:r>
        <w:t xml:space="preserve"> </w:t>
      </w:r>
      <w:r>
        <w:t xml:space="preserve">has</w:t>
      </w:r>
      <w:r>
        <w:t xml:space="preserve"> </w:t>
      </w:r>
      <w:r>
        <w:rPr>
          <w:b/>
          <w:bCs/>
        </w:rPr>
        <w:t xml:space="preserve">Deny Public Network Access = Yes</w:t>
      </w:r>
      <w:r>
        <w:t xml:space="preserve">, Private-Endpoint-only, rejecting all connections from outside the VNet) is cleared by the</w:t>
      </w:r>
      <w:r>
        <w:t xml:space="preserve"> </w:t>
      </w:r>
      <w:r>
        <w:rPr>
          <w:b/>
          <w:bCs/>
        </w:rPr>
        <w:t xml:space="preserve">BW-hosted Azure Virtual Desktop</w:t>
      </w:r>
      <w:r>
        <w:t xml:space="preserve"> </w:t>
      </w:r>
      <w:r>
        <w:t xml:space="preserve">inside the VNet (US East). Access: Windows App →</w:t>
      </w:r>
      <w:r>
        <w:t xml:space="preserve"> </w:t>
      </w:r>
      <w:r>
        <w:rPr>
          <w:rStyle w:val="VerbatimChar"/>
        </w:rPr>
        <w:t xml:space="preserve">brian.elbert@carrbiosystems.com</w:t>
      </w:r>
      <w:r>
        <w:t xml:space="preserve"> </w:t>
      </w:r>
      <w:r>
        <w:t xml:space="preserve">via OKTA →</w:t>
      </w:r>
      <w:r>
        <w:t xml:space="preserve"> </w:t>
      </w:r>
      <w:r>
        <w:rPr>
          <w:b/>
          <w:bCs/>
        </w:rPr>
        <w:t xml:space="preserve">“Diacto”</w:t>
      </w:r>
      <w:r>
        <w:rPr>
          <w:b/>
          <w:bCs/>
        </w:rPr>
        <w:t xml:space="preserve"> </w:t>
      </w:r>
      <w:r>
        <w:rPr>
          <w:b/>
          <w:bCs/>
        </w:rPr>
        <w:t xml:space="preserve">hostpool</w:t>
      </w:r>
      <w:r>
        <w:t xml:space="preserve">. Also makes</w:t>
      </w:r>
      <w:r>
        <w:t xml:space="preserve"> </w:t>
      </w:r>
      <w:r>
        <w:rPr>
          <w:b/>
          <w:bCs/>
        </w:rPr>
        <w:t xml:space="preserve">SSMS directly usable</w:t>
      </w:r>
      <w:r>
        <w:t xml:space="preserve">. Details:</w:t>
      </w:r>
      <w:r>
        <w:t xml:space="preserve"> </w:t>
      </w:r>
      <w:r>
        <w:rPr>
          <w:rStyle w:val="VerbatimChar"/>
        </w:rPr>
        <w:t xml:space="preserve">15_migration_status.md</w:t>
      </w:r>
    </w:p>
    <w:p>
      <w:pPr>
        <w:pStyle w:val="Compact"/>
        <w:numPr>
          <w:ilvl w:val="0"/>
          <w:numId w:val="1001"/>
        </w:numPr>
      </w:pPr>
      <w:r>
        <w:t xml:space="preserve">⏳</w:t>
      </w:r>
      <w:r>
        <w:t xml:space="preserve"> </w:t>
      </w:r>
      <w:r>
        <w:rPr>
          <w:b/>
          <w:bCs/>
        </w:rPr>
        <w:t xml:space="preserve">DB principal + Azure Portal RBAC</w:t>
      </w:r>
      <w:r>
        <w:t xml:space="preserve"> </w:t>
      </w:r>
      <w:r>
        <w:t xml:space="preserve">— never granted.</w:t>
      </w:r>
      <w:r>
        <w:t xml:space="preserve"> </w:t>
      </w:r>
      <w:r>
        <w:rPr>
          <w:b/>
          <w:bCs/>
        </w:rPr>
        <w:t xml:space="preserve">Now the critical path</w:t>
      </w:r>
      <w:r>
        <w:t xml:space="preserve"> </w:t>
      </w:r>
      <w:r>
        <w:t xml:space="preserve">— grant in parallel; nothing else blocks it</w:t>
      </w:r>
    </w:p>
    <w:p>
      <w:pPr>
        <w:pStyle w:val="Compact"/>
        <w:numPr>
          <w:ilvl w:val="0"/>
          <w:numId w:val="1001"/>
        </w:numPr>
      </w:pPr>
      <w:r>
        <w:t xml:space="preserve">⏳</w:t>
      </w:r>
      <w:r>
        <w:t xml:space="preserve"> </w:t>
      </w:r>
      <w:r>
        <w:rPr>
          <w:b/>
          <w:bCs/>
        </w:rPr>
        <w:t xml:space="preserve">Two written confirmations outstanding</w:t>
      </w:r>
      <w:r>
        <w:t xml:space="preserve"> </w:t>
      </w:r>
      <w:r>
        <w:t xml:space="preserve">— that</w:t>
      </w:r>
      <w:r>
        <w:t xml:space="preserve"> </w:t>
      </w:r>
      <w:r>
        <w:rPr>
          <w:rStyle w:val="VerbatimChar"/>
        </w:rPr>
        <w:t xml:space="preserve">siplatform</w:t>
      </w:r>
      <w:r>
        <w:t xml:space="preserve"> </w:t>
      </w:r>
      <w:r>
        <w:t xml:space="preserve">is the correct database dedicated to CARR (blocks any DDL), and whether the target is Azure SQL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Managed Instance</w:t>
      </w:r>
      <w:r>
        <w:t xml:space="preserve"> </w:t>
      </w:r>
      <w:r>
        <w:t xml:space="preserve">(decides whether the 21 jobs land on Elastic Jobs)</w:t>
      </w:r>
    </w:p>
    <w:p>
      <w:pPr>
        <w:pStyle w:val="Compact"/>
        <w:numPr>
          <w:ilvl w:val="0"/>
          <w:numId w:val="1001"/>
        </w:numPr>
      </w:pPr>
      <w:r>
        <w:t xml:space="preserve">⏳</w:t>
      </w:r>
      <w:r>
        <w:t xml:space="preserve"> </w:t>
      </w:r>
      <w:r>
        <w:rPr>
          <w:b/>
          <w:bCs/>
        </w:rPr>
        <w:t xml:space="preserve">Foundry access</w:t>
      </w:r>
      <w:r>
        <w:t xml:space="preserve"> </w:t>
      </w:r>
      <w:r>
        <w:t xml:space="preserve">— no BW user with Foundry access identified yet;</w:t>
      </w:r>
      <w:r>
        <w:t xml:space="preserve"> </w:t>
      </w:r>
      <w:r>
        <w:rPr>
          <w:b/>
          <w:bCs/>
        </w:rPr>
        <w:t xml:space="preserve">does not block the agent fleet</w:t>
      </w:r>
      <w:r>
        <w:t xml:space="preserve"> </w:t>
      </w:r>
      <w:r>
        <w:t xml:space="preserve">(built container-first on Container Apps), only the optional Foundry-managed edges</w:t>
      </w:r>
    </w:p>
    <w:bookmarkEnd w:id="9"/>
    <w:bookmarkStart w:id="10" w:name="research-refresh-2026-08-07"/>
    <w:p>
      <w:pPr>
        <w:pStyle w:val="Heading2"/>
      </w:pPr>
      <w:r>
        <w:t xml:space="preserve">Research refresh (2026-08-07)</w:t>
      </w:r>
    </w:p>
    <w:p>
      <w:pPr>
        <w:pStyle w:val="FirstParagraph"/>
      </w:pPr>
      <w:r>
        <w:t xml:space="preserve">Targeted Brave + Firecrawl pass to re-verify the time-sensitive facts in this pack. Result:</w:t>
      </w:r>
      <w:r>
        <w:t xml:space="preserve"> </w:t>
      </w:r>
      <w:r>
        <w:rPr>
          <w:b/>
          <w:bCs/>
        </w:rPr>
        <w:t xml:space="preserve">no claim was invalidated</w:t>
      </w:r>
      <w:r>
        <w:t xml:space="preserve">; three items firmed up in our favour.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Elastic Jobs is now GA</w:t>
      </w:r>
      <w:r>
        <w:t xml:space="preserve"> </w:t>
      </w:r>
      <w:r>
        <w:t xml:space="preserve">(general availability confirmed). Our D1 recommendation — Azure SQL Database +</w:t>
      </w:r>
      <w:r>
        <w:t xml:space="preserve"> </w:t>
      </w:r>
      <w:r>
        <w:rPr>
          <w:b/>
          <w:bCs/>
        </w:rPr>
        <w:t xml:space="preserve">Elastic Jobs</w:t>
      </w:r>
      <w:r>
        <w:t xml:space="preserve"> </w:t>
      </w:r>
      <w:r>
        <w:t xml:space="preserve">for the 21</w:t>
      </w:r>
      <w:r>
        <w:t xml:space="preserve"> </w:t>
      </w:r>
      <w:r>
        <w:rPr>
          <w:rStyle w:val="VerbatimChar"/>
        </w:rPr>
        <w:t xml:space="preserve">pg_cron</w:t>
      </w:r>
      <w:r>
        <w:t xml:space="preserve"> </w:t>
      </w:r>
      <w:r>
        <w:t xml:space="preserve">jobs — is on a GA feature, not preview. Note: at GA, the Elastic Job Agent is</w:t>
      </w:r>
      <w:r>
        <w:t xml:space="preserve"> </w:t>
      </w:r>
      <w:r>
        <w:rPr>
          <w:b/>
          <w:bCs/>
        </w:rPr>
        <w:t xml:space="preserve">billed by its capacity tier</w:t>
      </w:r>
      <w:r>
        <w:t xml:space="preserve"> </w:t>
      </w:r>
      <w:r>
        <w:t xml:space="preserve">(was free in preview) — a small, expected line item to flag to BW.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first-party</w:t>
      </w:r>
      <w:r>
        <w:rPr>
          <w:b/>
          <w:bCs/>
        </w:rPr>
        <w:t xml:space="preserve"> </w:t>
      </w:r>
      <w:r>
        <w:rPr>
          <w:b/>
          <w:bCs/>
        </w:rPr>
        <w:t xml:space="preserve">“SSMA for PostgreSQL.”</w:t>
      </w:r>
      <w:r>
        <w:t xml:space="preserve"> </w:t>
      </w:r>
      <w:r>
        <w:t xml:space="preserve">Microsoft’s SQL Server Migration Assistant officially covers Access, Db2, MySQL, Oracle, SAP ASE —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PostgreSQL. This</w:t>
      </w:r>
      <w:r>
        <w:t xml:space="preserve"> </w:t>
      </w:r>
      <w:r>
        <w:rPr>
          <w:b/>
          <w:bCs/>
        </w:rPr>
        <w:t xml:space="preserve">validates our approach</w:t>
      </w:r>
      <w:r>
        <w:t xml:space="preserve">: the Postgres→T-SQL conversion is LLM-assisted +</w:t>
      </w:r>
      <w:r>
        <w:t xml:space="preserve"> </w:t>
      </w:r>
      <w:r>
        <w:rPr>
          <w:rStyle w:val="VerbatimChar"/>
        </w:rPr>
        <w:t xml:space="preserve">sqlglot</w:t>
      </w:r>
      <w:r>
        <w:t xml:space="preserve">-supported and hand-reviewed, because there is no Microsoft push-button converter for our source engine.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Azure AI Foundry Agent Service reached GA</w:t>
      </w:r>
      <w:r>
        <w:t xml:space="preserve"> </w:t>
      </w:r>
      <w:r>
        <w:t xml:space="preserve">(core service GA March 2026; hosted agents GA ~July 2026). Relevant nuance for D5: Foundry Hosted Agents run</w:t>
      </w:r>
      <w:r>
        <w:t xml:space="preserve"> </w:t>
      </w:r>
      <w:r>
        <w:rPr>
          <w:b/>
          <w:bCs/>
        </w:rPr>
        <w:t xml:space="preserve">your own container image</w:t>
      </w:r>
      <w:r>
        <w:t xml:space="preserve"> </w:t>
      </w:r>
      <w:r>
        <w:t xml:space="preserve">(Agent Framework, LangGraph, OpenAI/Anthropic SDKs), so a container-first build on Container Apps lifts into Foundry later with little rework. This makes Foundry an</w:t>
      </w:r>
      <w:r>
        <w:t xml:space="preserve"> </w:t>
      </w:r>
      <w:r>
        <w:rPr>
          <w:b/>
          <w:bCs/>
        </w:rPr>
        <w:t xml:space="preserve">optional add-on</w:t>
      </w:r>
      <w:r>
        <w:t xml:space="preserve"> </w:t>
      </w:r>
      <w:r>
        <w:t xml:space="preserve">(Model Router, Foundry IQ RAG, managed eval/identity), not a dependency — the open item is purely</w:t>
      </w:r>
      <w:r>
        <w:t xml:space="preserve"> </w:t>
      </w:r>
      <w:r>
        <w:rPr>
          <w:i/>
          <w:iCs/>
        </w:rPr>
        <w:t xml:space="preserve">access</w:t>
      </w:r>
      <w:r>
        <w:t xml:space="preserve">, and it no longer gates Phase 4.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Confirmed unchanged:</w:t>
      </w:r>
      <w:r>
        <w:t xml:space="preserve"> </w:t>
      </w:r>
      <w:r>
        <w:t xml:space="preserve">Azure Data Studio retired 2026-02-28 (use VS Code + MSSQL extension);</w:t>
      </w:r>
      <w:r>
        <w:t xml:space="preserve"> </w:t>
      </w:r>
      <w:r>
        <w:rPr>
          <w:b/>
          <w:bCs/>
        </w:rPr>
        <w:t xml:space="preserve">SSMS remains Windows-only</w:t>
      </w:r>
      <w:r>
        <w:t xml:space="preserve"> </w:t>
      </w:r>
      <w:r>
        <w:t xml:space="preserve">(so the AVD is what makes it usable);</w:t>
      </w:r>
      <w:r>
        <w:t xml:space="preserve"> </w:t>
      </w:r>
      <w:r>
        <w:rPr>
          <w:rStyle w:val="VerbatimChar"/>
        </w:rPr>
        <w:t xml:space="preserve">bcp</w:t>
      </w:r>
      <w:r>
        <w:t xml:space="preserve">/mssql-tools18 remains the bulk-load path.</w:t>
      </w:r>
    </w:p>
    <w:bookmarkEnd w:id="10"/>
    <w:bookmarkStart w:id="11" w:name="whats-been-completed"/>
    <w:p>
      <w:pPr>
        <w:pStyle w:val="Heading2"/>
      </w:pPr>
      <w:r>
        <w:t xml:space="preserve">What’s been completed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Full system architecture documented (3-layer map)</w:t>
            </w:r>
          </w:p>
        </w:tc>
        <w:tc>
          <w:tcPr/>
          <w:p>
            <w:pPr>
              <w:pStyle w:val="Compact"/>
            </w:pPr>
            <w:r>
              <w:t xml:space="preserve">2026-07-21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CARR_FULL_SYSTEM_MIGRATION_MAP.md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Azure SQL conversion scope assessed</w:t>
            </w:r>
          </w:p>
        </w:tc>
        <w:tc>
          <w:tcPr/>
          <w:p>
            <w:pPr>
              <w:pStyle w:val="Compact"/>
            </w:pPr>
            <w:r>
              <w:t xml:space="preserve">2026-06-17</w:t>
            </w:r>
          </w:p>
        </w:tc>
        <w:tc>
          <w:tcPr/>
          <w:p>
            <w:pPr>
              <w:pStyle w:val="Compact"/>
            </w:pPr>
            <w:r>
              <w:t xml:space="preserve">131 functions, 252 RLS policies, 80 JSONB cols → T-SQL rewrite (</w:t>
            </w:r>
            <w:r>
              <w:rPr>
                <w:rStyle w:val="VerbatimChar"/>
              </w:rPr>
              <w:t xml:space="preserve">07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All 26 Edge Functions censused</w:t>
            </w:r>
          </w:p>
        </w:tc>
        <w:tc>
          <w:tcPr/>
          <w:p>
            <w:pPr>
              <w:pStyle w:val="Compact"/>
            </w:pPr>
            <w:r>
              <w:t xml:space="preserve">2026-06-28</w:t>
            </w:r>
          </w:p>
        </w:tc>
        <w:tc>
          <w:tcPr/>
          <w:p>
            <w:pPr>
              <w:pStyle w:val="Compact"/>
            </w:pPr>
            <w:r>
              <w:t xml:space="preserve">Per-function Azure landing identified (</w:t>
            </w:r>
            <w:r>
              <w:rPr>
                <w:rStyle w:val="VerbatimChar"/>
              </w:rPr>
              <w:t xml:space="preserve">08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Upstream data agents inventoried</w:t>
            </w:r>
          </w:p>
        </w:tc>
        <w:tc>
          <w:tcPr/>
          <w:p>
            <w:pPr>
              <w:pStyle w:val="Compact"/>
            </w:pPr>
            <w:r>
              <w:t xml:space="preserve">2026-07-21</w:t>
            </w:r>
          </w:p>
        </w:tc>
        <w:tc>
          <w:tcPr/>
          <w:p>
            <w:pPr>
              <w:pStyle w:val="Compact"/>
            </w:pPr>
            <w:r>
              <w:t xml:space="preserve">Full SaaS + custom code + Hub dependency map (</w:t>
            </w:r>
            <w:r>
              <w:rPr>
                <w:rStyle w:val="VerbatimChar"/>
              </w:rPr>
              <w:t xml:space="preserve">09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7-agent CARR fleet designed</w:t>
            </w:r>
          </w:p>
        </w:tc>
        <w:tc>
          <w:tcPr/>
          <w:p>
            <w:pPr>
              <w:pStyle w:val="Compact"/>
            </w:pPr>
            <w:r>
              <w:t xml:space="preserve">2026-07-21</w:t>
            </w:r>
          </w:p>
        </w:tc>
        <w:tc>
          <w:tcPr/>
          <w:p>
            <w:pPr>
              <w:pStyle w:val="Compact"/>
            </w:pPr>
            <w:r>
              <w:t xml:space="preserve">Target-state replacement for upstream layer (</w:t>
            </w:r>
            <w:r>
              <w:rPr>
                <w:rStyle w:val="VerbatimChar"/>
              </w:rPr>
              <w:t xml:space="preserve">11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Identity question resolved</w:t>
            </w:r>
          </w:p>
        </w:tc>
        <w:tc>
          <w:tcPr/>
          <w:p>
            <w:pPr>
              <w:pStyle w:val="Compact"/>
            </w:pPr>
            <w:r>
              <w:t xml:space="preserve">2026-07-08</w:t>
            </w:r>
          </w:p>
        </w:tc>
        <w:tc>
          <w:tcPr/>
          <w:p>
            <w:pPr>
              <w:pStyle w:val="Compact"/>
            </w:pPr>
            <w:r>
              <w:t xml:space="preserve">All users BW-internal; Entra workforce auth (</w:t>
            </w:r>
            <w:r>
              <w:rPr>
                <w:rStyle w:val="VerbatimChar"/>
              </w:rPr>
              <w:t xml:space="preserve">04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15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Lovable role clarified</w:t>
            </w:r>
          </w:p>
        </w:tc>
        <w:tc>
          <w:tcPr/>
          <w:p>
            <w:pPr>
              <w:pStyle w:val="Compact"/>
            </w:pPr>
            <w:r>
              <w:t xml:space="preserve">2026-07-22</w:t>
            </w:r>
          </w:p>
        </w:tc>
        <w:tc>
          <w:tcPr/>
          <w:p>
            <w:pPr>
              <w:pStyle w:val="Compact"/>
            </w:pPr>
            <w:r>
              <w:t xml:space="preserve">Hosting only; no capability loss when removed (</w:t>
            </w:r>
            <w:r>
              <w:rPr>
                <w:rStyle w:val="VerbatimChar"/>
              </w:rPr>
              <w:t xml:space="preserve">03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Azure SQL server provisioned by BW</w:t>
            </w:r>
          </w:p>
        </w:tc>
        <w:tc>
          <w:tcPr/>
          <w:p>
            <w:pPr>
              <w:pStyle w:val="Compact"/>
            </w:pPr>
            <w:r>
              <w:t xml:space="preserve">2026-07-14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cbsuse-sql01.database.windows.net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Postgres vs Azure SQL reanalysis</w:t>
            </w:r>
          </w:p>
        </w:tc>
        <w:tc>
          <w:tcPr/>
          <w:p>
            <w:pPr>
              <w:pStyle w:val="Compact"/>
            </w:pPr>
            <w:r>
              <w:t xml:space="preserve">2026-06-28</w:t>
            </w:r>
          </w:p>
        </w:tc>
        <w:tc>
          <w:tcPr/>
          <w:p>
            <w:pPr>
              <w:pStyle w:val="Compact"/>
            </w:pPr>
            <w:r>
              <w:t xml:space="preserve">Both paths documented; BW selected Azure SQL (</w:t>
            </w:r>
            <w:r>
              <w:rPr>
                <w:rStyle w:val="VerbatimChar"/>
              </w:rPr>
              <w:t xml:space="preserve">13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Co-branded migration site live</w:t>
            </w:r>
          </w:p>
        </w:tc>
        <w:tc>
          <w:tcPr/>
          <w:p>
            <w:pPr>
              <w:pStyle w:val="Compact"/>
            </w:pPr>
            <w:r>
              <w:t xml:space="preserve">2026-07-15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carr-migration.b.biocreativestrategies.com</w:t>
            </w:r>
          </w:p>
        </w:tc>
      </w:tr>
    </w:tbl>
    <w:bookmarkEnd w:id="11"/>
    <w:bookmarkStart w:id="20" w:name="migration-phases-sequenced"/>
    <w:p>
      <w:pPr>
        <w:pStyle w:val="Heading2"/>
      </w:pPr>
      <w:r>
        <w:t xml:space="preserve">Migration phases (sequenced)</w:t>
      </w:r>
    </w:p>
    <w:bookmarkStart w:id="12" w:name="phase-0-access-foundation-in-progress"/>
    <w:p>
      <w:pPr>
        <w:pStyle w:val="Heading3"/>
      </w:pPr>
      <w:r>
        <w:t xml:space="preserve">Phase 0 — Access &amp; Foundation (in progress)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establish the access and permissions needed for everything downstream.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Blocks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Issue BW email credentials for</w:t>
            </w:r>
            <w:r>
              <w:t xml:space="preserve"> </w:t>
            </w:r>
            <w:r>
              <w:rPr>
                <w:rStyle w:val="VerbatimChar"/>
              </w:rPr>
              <w:t xml:space="preserve">brian.elbert@carrbiosystems.com</w:t>
            </w:r>
          </w:p>
        </w:tc>
        <w:tc>
          <w:tcPr/>
          <w:p>
            <w:pPr>
              <w:pStyle w:val="Compact"/>
            </w:pPr>
            <w:r>
              <w:t xml:space="preserve">Chad Evans (BW) + Colby</w:t>
            </w:r>
          </w:p>
        </w:tc>
        <w:tc>
          <w:tcPr/>
          <w:p>
            <w:pPr>
              <w:pStyle w:val="Compact"/>
            </w:pPr>
            <w:r>
              <w:t xml:space="preserve">✅ Done 2026-07-27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 a network path to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cbsuse-sql01</w:t>
            </w:r>
            <w:r>
              <w:t xml:space="preserve"> </w:t>
            </w:r>
            <w:r>
              <w:t xml:space="preserve">— ✅ route chosen 2026-07-29:</w:t>
            </w:r>
            <w:r>
              <w:t xml:space="preserve"> </w:t>
            </w:r>
            <w:r>
              <w:rPr>
                <w:b/>
                <w:bCs/>
              </w:rPr>
              <w:t xml:space="preserve">BW-hosted Azure Virtual Desktop</w:t>
            </w:r>
            <w:r>
              <w:t xml:space="preserve"> </w:t>
            </w:r>
            <w:r>
              <w:t xml:space="preserve">inside the VNet, US East (Nancy Risch). Chosen from four options; BC-preferred</w:t>
            </w:r>
          </w:p>
        </w:tc>
        <w:tc>
          <w:tcPr/>
          <w:p>
            <w:pPr>
              <w:pStyle w:val="Compact"/>
            </w:pPr>
            <w:r>
              <w:t xml:space="preserve">Nancy Risch (BW)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Decided 7/29</w:t>
            </w:r>
          </w:p>
        </w:tc>
        <w:tc>
          <w:tcPr/>
          <w:p>
            <w:pPr>
              <w:pStyle w:val="Compact"/>
            </w:pPr>
            <w:r>
              <w:t xml:space="preserve">Phases 1–5 (everything)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AVD hardware specs + software list — 8 vCPU / 32 GB / 256 GB Premium SSD recommended (4 vCPU / 16 GB sufficient); full tool list; five provisioning flags. Delivered as</w:t>
            </w:r>
            <w:r>
              <w:t xml:space="preserve"> </w:t>
            </w:r>
            <w:r>
              <w:rPr>
                <w:rStyle w:val="VerbatimChar"/>
              </w:rPr>
              <w:t xml:space="preserve">20_avd_provisioning_and_access_response.md</w:t>
            </w:r>
            <w:r>
              <w:t xml:space="preserve"> </w:t>
            </w:r>
            <w:r>
              <w:t xml:space="preserve">+ co-branded DOCX</w:t>
            </w:r>
          </w:p>
        </w:tc>
        <w:tc>
          <w:tcPr/>
          <w:p>
            <w:pPr>
              <w:pStyle w:val="Compact"/>
            </w:pPr>
            <w:r>
              <w:t xml:space="preserve">BioCreative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Done 7/31</w:t>
            </w:r>
          </w:p>
        </w:tc>
        <w:tc>
          <w:tcPr/>
          <w:p>
            <w:pPr>
              <w:pStyle w:val="Compact"/>
            </w:pPr>
            <w:r>
              <w:t xml:space="preserve">Server 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Submit the BW Server Request</w:t>
            </w:r>
            <w:r>
              <w:t xml:space="preserve"> </w:t>
            </w:r>
            <w:r>
              <w:t xml:space="preserve">— noted in the form as a</w:t>
            </w:r>
            <w:r>
              <w:t xml:space="preserve"> </w:t>
            </w:r>
            <w:r>
              <w:rPr>
                <w:b/>
                <w:bCs/>
              </w:rPr>
              <w:t xml:space="preserve">Virtual Desktop, not a Server</w:t>
            </w:r>
          </w:p>
        </w:tc>
        <w:tc>
          <w:tcPr/>
          <w:p>
            <w:pPr>
              <w:pStyle w:val="Compact"/>
            </w:pPr>
            <w:r>
              <w:t xml:space="preserve">Colby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Done 8/04</w:t>
            </w:r>
          </w:p>
        </w:tc>
        <w:tc>
          <w:tcPr/>
          <w:p>
            <w:pPr>
              <w:pStyle w:val="Compact"/>
            </w:pPr>
            <w:r>
              <w:t xml:space="preserve">AVD provisioning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Provision the AVD + set up access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“Diacto”</w:t>
            </w:r>
            <w:r>
              <w:t xml:space="preserve"> </w:t>
            </w:r>
            <w:r>
              <w:t xml:space="preserve">hostpool, Windows App,</w:t>
            </w:r>
            <w:r>
              <w:t xml:space="preserve"> </w:t>
            </w:r>
            <w:r>
              <w:rPr>
                <w:rStyle w:val="VerbatimChar"/>
              </w:rPr>
              <w:t xml:space="preserve">brian.elbert@carrbiosystems.com</w:t>
            </w:r>
            <w:r>
              <w:t xml:space="preserve"> </w:t>
            </w:r>
            <w:r>
              <w:t xml:space="preserve">via OKTA</w:t>
            </w:r>
          </w:p>
        </w:tc>
        <w:tc>
          <w:tcPr/>
          <w:p>
            <w:pPr>
              <w:pStyle w:val="Compact"/>
            </w:pPr>
            <w:r>
              <w:t xml:space="preserve">BW cloud ops (Nancy)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b/>
                <w:bCs/>
              </w:rPr>
              <w:t xml:space="preserve">Done 8/06</w:t>
            </w:r>
          </w:p>
        </w:tc>
        <w:tc>
          <w:tcPr/>
          <w:p>
            <w:pPr>
              <w:pStyle w:val="Compact"/>
            </w:pPr>
            <w:r>
              <w:t xml:space="preserve">— (was: everything)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Settle AVD provisioning specifics — (a) outbound egress to the Supabase source (or a file-transfer alternative), (b) where the Phase 2 container image is built (Docker Desktop /</w:t>
            </w:r>
            <w:r>
              <w:t xml:space="preserve"> </w:t>
            </w:r>
            <w:r>
              <w:rPr>
                <w:b/>
                <w:bCs/>
              </w:rPr>
              <w:t xml:space="preserve">ACR Tasks</w:t>
            </w:r>
            <w:r>
              <w:t xml:space="preserve"> </w:t>
            </w:r>
            <w:r>
              <w:t xml:space="preserve">/ CI agent), (c) whether the multi-session profile persists tooling + files, and install-rights cadence</w:t>
            </w:r>
          </w:p>
        </w:tc>
        <w:tc>
          <w:tcPr/>
          <w:p>
            <w:pPr>
              <w:pStyle w:val="Compact"/>
            </w:pPr>
            <w:r>
              <w:t xml:space="preserve">BW cloud ops + Brian</w:t>
            </w:r>
          </w:p>
        </w:tc>
        <w:tc>
          <w:tcPr/>
          <w:p>
            <w:pPr>
              <w:pStyle w:val="Compact"/>
            </w:pPr>
            <w:r>
              <w:t xml:space="preserve">🔄 Raised 7/31</w:t>
            </w:r>
          </w:p>
        </w:tc>
        <w:tc>
          <w:tcPr/>
          <w:p>
            <w:pPr>
              <w:pStyle w:val="Compact"/>
            </w:pPr>
            <w:r>
              <w:t xml:space="preserve">Phase 1 data move · Phase 2 image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Grant DB principal in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CREATE USER [brian.elbert@carrbiosystems.com] FROM EXTERNAL PROVIDER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db_owner</w:t>
            </w:r>
            <w:r>
              <w:t xml:space="preserve"> </w:t>
            </w:r>
            <w:r>
              <w:t xml:space="preserve">(DDL required — ~86 tables / 101 views / 131 procs).</w:t>
            </w:r>
            <w:r>
              <w:t xml:space="preserve"> </w:t>
            </w:r>
            <w:r>
              <w:rPr>
                <w:b/>
                <w:bCs/>
              </w:rPr>
              <w:t xml:space="preserve">Can be granted in parallel with AVD provisioning</w:t>
            </w:r>
          </w:p>
        </w:tc>
        <w:tc>
          <w:tcPr/>
          <w:p>
            <w:pPr>
              <w:pStyle w:val="Compact"/>
            </w:pPr>
            <w:r>
              <w:t xml:space="preserve">BW Entra/SQL admin</w:t>
            </w:r>
          </w:p>
        </w:tc>
        <w:tc>
          <w:tcPr/>
          <w:p>
            <w:pPr>
              <w:pStyle w:val="Compact"/>
            </w:pPr>
            <w:r>
              <w:t xml:space="preserve">⏳ Not granted</w:t>
            </w:r>
          </w:p>
        </w:tc>
        <w:tc>
          <w:tcPr/>
          <w:p>
            <w:pPr>
              <w:pStyle w:val="Compact"/>
            </w:pPr>
            <w:r>
              <w:t xml:space="preserve">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Confirm</w:t>
            </w:r>
            <w:r>
              <w:t xml:space="preserve"> </w:t>
            </w:r>
            <w:r>
              <w:rPr>
                <w:b/>
                <w:bCs/>
              </w:rPr>
              <w:t xml:space="preserve">Azure SQL Database vs Managed Instance</w:t>
            </w:r>
            <w:r>
              <w:t xml:space="preserve"> </w:t>
            </w:r>
            <w:r>
              <w:t xml:space="preserve">— endpoint indicates SQL Database (no SQL Server Agent), which moves the 21 jobs to</w:t>
            </w:r>
            <w:r>
              <w:t xml:space="preserve"> </w:t>
            </w:r>
            <w:r>
              <w:rPr>
                <w:b/>
                <w:bCs/>
              </w:rPr>
              <w:t xml:space="preserve">Elastic Jobs</w:t>
            </w:r>
            <w:r>
              <w:t xml:space="preserve"> </w:t>
            </w:r>
            <w:r>
              <w:t xml:space="preserve">/ Functions timers. Real Phase 1 scope change</w:t>
            </w:r>
          </w:p>
        </w:tc>
        <w:tc>
          <w:tcPr/>
          <w:p>
            <w:pPr>
              <w:pStyle w:val="Compact"/>
            </w:pPr>
            <w:r>
              <w:t xml:space="preserve">BW DBA (Venkata)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1 job re-homing (1.5)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Grant Azure Portal</w:t>
            </w:r>
            <w:r>
              <w:t xml:space="preserve"> </w:t>
            </w:r>
            <w:r>
              <w:rPr>
                <w:b/>
                <w:bCs/>
              </w:rPr>
              <w:t xml:space="preserve">Reader</w:t>
            </w:r>
            <w:r>
              <w:t xml:space="preserve"> </w:t>
            </w:r>
            <w:r>
              <w:t xml:space="preserve">on the resource group + SQL server</w:t>
            </w:r>
          </w:p>
        </w:tc>
        <w:tc>
          <w:tcPr/>
          <w:p>
            <w:pPr>
              <w:pStyle w:val="Compact"/>
            </w:pPr>
            <w:r>
              <w:t xml:space="preserve">BW cloud ops</w:t>
            </w:r>
          </w:p>
        </w:tc>
        <w:tc>
          <w:tcPr/>
          <w:p>
            <w:pPr>
              <w:pStyle w:val="Compact"/>
            </w:pPr>
            <w:r>
              <w:t xml:space="preserve">⏳ Never requested (new ask)</w:t>
            </w:r>
          </w:p>
        </w:tc>
        <w:tc>
          <w:tcPr/>
          <w:p>
            <w:pPr>
              <w:pStyle w:val="Compact"/>
            </w:pPr>
            <w:r>
              <w:t xml:space="preserve">Self-service diagnostics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Confirm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dedicated</w:t>
            </w:r>
            <w:r>
              <w:t xml:space="preserve"> </w:t>
            </w:r>
            <w:r>
              <w:t xml:space="preserve">to CARR, not a shared BW app DB</w:t>
            </w:r>
          </w:p>
        </w:tc>
        <w:tc>
          <w:tcPr/>
          <w:p>
            <w:pPr>
              <w:pStyle w:val="Compact"/>
            </w:pPr>
            <w:r>
              <w:t xml:space="preserve">BW + Colby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1 (blocks any DDL)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Verify the connection target resolves to</w:t>
            </w:r>
            <w:r>
              <w:t xml:space="preserve"> </w:t>
            </w:r>
            <w:r>
              <w:rPr>
                <w:rStyle w:val="VerbatimChar"/>
              </w:rPr>
              <w:t xml:space="preserve">cbsuse-sql01</w:t>
            </w:r>
            <w:r>
              <w:t xml:space="preserve">/</w:t>
            </w:r>
            <w:r>
              <w:rPr>
                <w:rStyle w:val="VerbatimChar"/>
              </w:rPr>
              <w:t xml:space="preserve">siplatform</w:t>
            </w:r>
            <w:r>
              <w:t xml:space="preserve"> </w:t>
            </w:r>
            <w:r>
              <w:t xml:space="preserve">and is the correct dedicated CARR database before any DDL</w:t>
            </w:r>
          </w:p>
        </w:tc>
        <w:tc>
          <w:tcPr/>
          <w:p>
            <w:pPr>
              <w:pStyle w:val="Compact"/>
            </w:pPr>
            <w:r>
              <w:t xml:space="preserve">BioCreative</w:t>
            </w:r>
          </w:p>
        </w:tc>
        <w:tc>
          <w:tcPr/>
          <w:p>
            <w:pPr>
              <w:pStyle w:val="Compact"/>
            </w:pPr>
            <w:r>
              <w:t xml:space="preserve">🔄 Ready (AVD live)</w:t>
            </w:r>
          </w:p>
        </w:tc>
        <w:tc>
          <w:tcPr/>
          <w:p>
            <w:pPr>
              <w:pStyle w:val="Compact"/>
            </w:pPr>
            <w:r>
              <w:t xml:space="preserve">Phase 1 DDL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 + verify access from the AVD (</w:t>
            </w:r>
            <w:r>
              <w:rPr>
                <w:b/>
                <w:bCs/>
              </w:rPr>
              <w:t xml:space="preserve">SSMS now viable</w:t>
            </w:r>
            <w:r>
              <w:t xml:space="preserve"> </w:t>
            </w:r>
            <w:r>
              <w:t xml:space="preserve">— the AVD is a Windows desktop;</w:t>
            </w:r>
            <w:r>
              <w:t xml:space="preserve"> </w:t>
            </w:r>
            <w:r>
              <w:rPr>
                <w:rStyle w:val="VerbatimChar"/>
              </w:rPr>
              <w:t xml:space="preserve">sqlcmd</w:t>
            </w:r>
            <w:r>
              <w:t xml:space="preserve"> </w:t>
            </w:r>
            <w:r>
              <w:t xml:space="preserve">/ VS Code + MSSQL extension also available)</w:t>
            </w:r>
          </w:p>
        </w:tc>
        <w:tc>
          <w:tcPr/>
          <w:p>
            <w:pPr>
              <w:pStyle w:val="Compact"/>
            </w:pPr>
            <w:r>
              <w:t xml:space="preserve">BioCreative</w:t>
            </w:r>
          </w:p>
        </w:tc>
        <w:tc>
          <w:tcPr/>
          <w:p>
            <w:pPr>
              <w:pStyle w:val="Compact"/>
            </w:pPr>
            <w:r>
              <w:t xml:space="preserve">🔄 Ready (AVD live); needs Grant B</w:t>
            </w:r>
          </w:p>
        </w:tc>
        <w:tc>
          <w:tcPr/>
          <w:p>
            <w:pPr>
              <w:pStyle w:val="Compact"/>
            </w:pPr>
            <w:r>
              <w:t xml:space="preserve">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Confirm resource group / permissions for Container Apps + Container Registry</w:t>
            </w:r>
          </w:p>
        </w:tc>
        <w:tc>
          <w:tcPr/>
          <w:p>
            <w:pPr>
              <w:pStyle w:val="Compact"/>
            </w:pPr>
            <w:r>
              <w:t xml:space="preserve">BW cloud ops + Colby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Locate a BW user with Foundry access</w:t>
            </w:r>
          </w:p>
        </w:tc>
        <w:tc>
          <w:tcPr/>
          <w:p>
            <w:pPr>
              <w:pStyle w:val="Compact"/>
            </w:pPr>
            <w:r>
              <w:t xml:space="preserve">BW + Colby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Complete GitHub Enterprise repo transfer</w:t>
            </w:r>
          </w:p>
        </w:tc>
        <w:tc>
          <w:tcPr/>
          <w:p>
            <w:pPr>
              <w:pStyle w:val="Compact"/>
            </w:pPr>
            <w:r>
              <w:t xml:space="preserve">Madhavan + Binoy (BW)</w:t>
            </w:r>
          </w:p>
        </w:tc>
        <w:tc>
          <w:tcPr/>
          <w:p>
            <w:pPr>
              <w:pStyle w:val="Compact"/>
            </w:pPr>
            <w:r>
              <w:t xml:space="preserve">🔄 In progress</w:t>
            </w:r>
          </w:p>
        </w:tc>
        <w:tc>
          <w:tcPr/>
          <w:p>
            <w:pPr>
              <w:pStyle w:val="Compact"/>
            </w:pPr>
            <w:r>
              <w:t xml:space="preserve">Phase 2 (CI/CD)</w:t>
            </w:r>
          </w:p>
        </w:tc>
      </w:tr>
    </w:tbl>
    <w:bookmarkEnd w:id="12"/>
    <w:bookmarkStart w:id="13" w:name="X5fe442b82410e7568be21d292ae0829afd1d1e8"/>
    <w:p>
      <w:pPr>
        <w:pStyle w:val="Heading3"/>
      </w:pPr>
      <w:r>
        <w:t xml:space="preserve">Phase 1 — Database Migration (Supabase Postgres → Azure SQL)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move the data tier — schema, data, business logic, security — to Azure SQL.</w:t>
      </w:r>
    </w:p>
    <w:p>
      <w:pPr>
        <w:pStyle w:val="BodyText"/>
      </w:pPr>
      <w:r>
        <w:rPr>
          <w:b/>
          <w:bCs/>
        </w:rPr>
        <w:t xml:space="preserve">Prerequisites:</w:t>
      </w:r>
      <w:r>
        <w:t xml:space="preserve"> </w:t>
      </w:r>
      <w:r>
        <w:t xml:space="preserve">Phase 0 (DB credentials).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  <w:r>
              <w:t xml:space="preserve">Schema conversion: tables, columns, indexes, constraints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JSONB (80 cols) →</w:t>
            </w:r>
            <w:r>
              <w:t xml:space="preserve"> </w:t>
            </w:r>
            <w:r>
              <w:rPr>
                <w:rStyle w:val="VerbatimChar"/>
              </w:rPr>
              <w:t xml:space="preserve">NVARCHAR(MAX)</w:t>
            </w:r>
            <w:r>
              <w:t xml:space="preserve"> </w:t>
            </w:r>
            <w:r>
              <w:t xml:space="preserve">+ computed JSON columns; arrays (105 cols) → junction tables or JSON; generated columns → computed columns. Tool-assisted + manual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1.2</w:t>
            </w:r>
          </w:p>
        </w:tc>
        <w:tc>
          <w:tcPr/>
          <w:p>
            <w:pPr>
              <w:pStyle w:val="Compact"/>
            </w:pPr>
            <w:r>
              <w:t xml:space="preserve">Function conversion: 131 PL/pgSQL → T-SQL stored procedures</w:t>
            </w:r>
          </w:p>
        </w:tc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LLM-assisted translation + semantic verification loop. The biggest single effort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1.3</w:t>
            </w:r>
          </w:p>
        </w:tc>
        <w:tc>
          <w:tcPr/>
          <w:p>
            <w:pPr>
              <w:pStyle w:val="Compact"/>
            </w:pPr>
            <w:r>
              <w:t xml:space="preserve">RLS rewrite: 252 policies → Azure SQL equivalent</w:t>
            </w:r>
          </w:p>
        </w:tc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auth.uid()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SESSION_CONTEXT('user_id')</w:t>
            </w:r>
            <w:r>
              <w:t xml:space="preserve"> </w:t>
            </w:r>
            <w:r>
              <w:t xml:space="preserve">pattern; every policy hand-reviewed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1.4</w:t>
            </w:r>
          </w:p>
        </w:tc>
        <w:tc>
          <w:tcPr/>
          <w:p>
            <w:pPr>
              <w:pStyle w:val="Compact"/>
            </w:pPr>
            <w:r>
              <w:t xml:space="preserve">Trigger conversion: 46 triggers → T-SQL triggers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Mostly mechanical; watch for PG-specific syntax (NEW/OLD → INSERTED/DELETED)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1.5</w:t>
            </w:r>
          </w:p>
        </w:tc>
        <w:tc>
          <w:tcPr/>
          <w:p>
            <w:pPr>
              <w:pStyle w:val="Compact"/>
            </w:pPr>
            <w:r>
              <w:t xml:space="preserve">Scheduled jobs: 21 pg_cron → SQL Agent / Elastic Jobs / Functions timers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High-frequency jobs (15-min, 2-hr) need reliable sub-hourly scheduling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1.6</w:t>
            </w:r>
          </w:p>
        </w:tc>
        <w:tc>
          <w:tcPr/>
          <w:p>
            <w:pPr>
              <w:pStyle w:val="Compact"/>
            </w:pPr>
            <w:r>
              <w:t xml:space="preserve">Data migration: ~4,200 accounts + ~104,000 contacts + history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bcp / BULK INSERT; validate row counts + referential integrity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1.7</w:t>
            </w:r>
          </w:p>
        </w:tc>
        <w:tc>
          <w:tcPr/>
          <w:p>
            <w:pPr>
              <w:pStyle w:val="Compact"/>
            </w:pPr>
            <w:r>
              <w:t xml:space="preserve">Vault → Key Vault: ~15 API keys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Straightforward rewire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1.8</w:t>
            </w:r>
          </w:p>
        </w:tc>
        <w:tc>
          <w:tcPr/>
          <w:p>
            <w:pPr>
              <w:pStyle w:val="Compact"/>
            </w:pPr>
            <w:r>
              <w:t xml:space="preserve">Validation: compare Supabase vs Azure SQL outputs on sample queries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Semantic equivalence testing on critical business logic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t xml:space="preserve">Azure SQL flavor —</w:t>
      </w:r>
      <w:r>
        <w:t xml:space="preserve"> </w:t>
      </w:r>
      <w:r>
        <w:rPr>
          <w:b/>
          <w:bCs/>
        </w:rPr>
        <w:t xml:space="preserve">SQL Database</w:t>
      </w:r>
      <w:r>
        <w:t xml:space="preserve"> </w:t>
      </w:r>
      <w:r>
        <w:t xml:space="preserve">vs</w:t>
      </w:r>
      <w:r>
        <w:t xml:space="preserve"> </w:t>
      </w:r>
      <w:r>
        <w:rPr>
          <w:b/>
          <w:bCs/>
        </w:rPr>
        <w:t xml:space="preserve">Managed Instance</w:t>
      </w:r>
      <w:r>
        <w:t xml:space="preserve"> </w:t>
      </w:r>
      <w:r>
        <w:t xml:space="preserve">vs SQL-on-VM. Affects available features (SQL Agent is MI-only; SQL Database uses Elastic Jobs).</w:t>
      </w:r>
      <w:r>
        <w:t xml:space="preserve"> </w:t>
      </w:r>
      <w:r>
        <w:rPr>
          <w:i/>
          <w:iCs/>
        </w:rPr>
        <w:t xml:space="preserve">BC recommendation: SQL Database + Elastic Jobs (lowest ops overhead).</w:t>
      </w:r>
      <w:r>
        <w:t xml:space="preserve"> </w:t>
      </w:r>
      <w:r>
        <w:rPr>
          <w:b/>
          <w:bCs/>
        </w:rPr>
        <w:t xml:space="preserve">Update 2026-07-29:</w:t>
      </w:r>
      <w:r>
        <w:t xml:space="preserve"> </w:t>
      </w:r>
      <w:r>
        <w:t xml:space="preserve">the provisioned endpoint (</w:t>
      </w:r>
      <w:r>
        <w:rPr>
          <w:rStyle w:val="VerbatimChar"/>
        </w:rPr>
        <w:t xml:space="preserve">cbsuse-sql01.database.windows.net</w:t>
      </w:r>
      <w:r>
        <w:t xml:space="preserve">, gateway</w:t>
      </w:r>
      <w:r>
        <w:t xml:space="preserve"> </w:t>
      </w:r>
      <w:r>
        <w:rPr>
          <w:rStyle w:val="VerbatimChar"/>
        </w:rPr>
        <w:t xml:space="preserve">cr14.eastus1-a.control</w:t>
      </w:r>
      <w:r>
        <w:t xml:space="preserve">, no MI DNS zone segment) indicates</w:t>
      </w:r>
      <w:r>
        <w:t xml:space="preserve"> </w:t>
      </w:r>
      <w:r>
        <w:rPr>
          <w:b/>
          <w:bCs/>
        </w:rPr>
        <w:t xml:space="preserve">Azure SQL Database</w:t>
      </w:r>
      <w:r>
        <w:t xml:space="preserve"> </w:t>
      </w:r>
      <w:r>
        <w:t xml:space="preserve">— so this is effectively already decided, and step 1.5 lands on</w:t>
      </w:r>
      <w:r>
        <w:t xml:space="preserve"> </w:t>
      </w:r>
      <w:r>
        <w:rPr>
          <w:b/>
          <w:bCs/>
        </w:rPr>
        <w:t xml:space="preserve">Elastic Jobs</w:t>
      </w:r>
      <w:r>
        <w:t xml:space="preserve">. Awaiting written confirmation from BW.</w:t>
      </w:r>
    </w:p>
    <w:bookmarkEnd w:id="13"/>
    <w:bookmarkStart w:id="14" w:name="phase-2-app-hosting-auth-react-spa-entra"/>
    <w:p>
      <w:pPr>
        <w:pStyle w:val="Heading3"/>
      </w:pPr>
      <w:r>
        <w:t xml:space="preserve">Phase 2 — App Hosting &amp; Auth (React SPA + Entra)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host the frontend on Azure and replace the Supabase Auth login system with Entra workforce auth.</w:t>
      </w:r>
    </w:p>
    <w:p>
      <w:pPr>
        <w:pStyle w:val="BodyText"/>
      </w:pPr>
      <w:r>
        <w:rPr>
          <w:b/>
          <w:bCs/>
        </w:rPr>
        <w:t xml:space="preserve">Prerequisites:</w:t>
      </w:r>
      <w:r>
        <w:t xml:space="preserve"> </w:t>
      </w:r>
      <w:r>
        <w:t xml:space="preserve">Phase 0 (RG/permissions, GitHub Enterprise), Phase 1 partially (the API middleware needs the Azure SQL connection).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2.1</w:t>
            </w:r>
          </w:p>
        </w:tc>
        <w:tc>
          <w:tcPr/>
          <w:p>
            <w:pPr>
              <w:pStyle w:val="Compact"/>
            </w:pPr>
            <w:r>
              <w:t xml:space="preserve">Host React/Vite build on Azure Static Web Apps (or Container Apps + nginx)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Build SPA → deploy static files → re-point domain. Trivial (proven SpanCorr pattern)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2.2</w:t>
            </w:r>
          </w:p>
        </w:tc>
        <w:tc>
          <w:tcPr/>
          <w:p>
            <w:pPr>
              <w:pStyle w:val="Compact"/>
            </w:pPr>
            <w:r>
              <w:t xml:space="preserve">Build custom API middleware on Container Apps</w:t>
            </w:r>
          </w:p>
        </w:tc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Validates Entra JWT, injects</w:t>
            </w:r>
            <w:r>
              <w:t xml:space="preserve"> </w:t>
            </w:r>
            <w:r>
              <w:rPr>
                <w:rStyle w:val="VerbatimChar"/>
              </w:rPr>
              <w:t xml:space="preserve">SET LOCAL app.user_id = '&lt;oid&gt;'</w:t>
            </w:r>
            <w:r>
              <w:t xml:space="preserve"> </w:t>
            </w:r>
            <w:r>
              <w:t xml:space="preserve">per request, proxies to Azure SQL. Replaces PostgREST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2.3</w:t>
            </w:r>
          </w:p>
        </w:tc>
        <w:tc>
          <w:tcPr/>
          <w:p>
            <w:pPr>
              <w:pStyle w:val="Compact"/>
            </w:pPr>
            <w:r>
              <w:t xml:space="preserve">Swap frontend auth:</w:t>
            </w:r>
            <w:r>
              <w:t xml:space="preserve"> </w:t>
            </w:r>
            <w:r>
              <w:rPr>
                <w:rStyle w:val="VerbatimChar"/>
              </w:rPr>
              <w:t xml:space="preserve">supabase-js</w:t>
            </w:r>
            <w:r>
              <w:t xml:space="preserve"> </w:t>
            </w:r>
            <w:r>
              <w:t xml:space="preserve">→ MSAL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signInWithPassword</w:t>
            </w:r>
            <w:r>
              <w:t xml:space="preserve"> </w:t>
            </w:r>
            <w:r>
              <w:t xml:space="preserve">with MSAL login flow; session handling changes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2.4</w:t>
            </w:r>
          </w:p>
        </w:tc>
        <w:tc>
          <w:tcPr/>
          <w:p>
            <w:pPr>
              <w:pStyle w:val="Compact"/>
            </w:pPr>
            <w:r>
              <w:t xml:space="preserve">User provisioning workflow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Define who creates/deactivates users in Entra (replaces BC manually adding users in Supabase dashboard)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2.5</w:t>
            </w:r>
          </w:p>
        </w:tc>
        <w:tc>
          <w:tcPr/>
          <w:p>
            <w:pPr>
              <w:pStyle w:val="Compact"/>
            </w:pPr>
            <w:r>
              <w:t xml:space="preserve">Author Dockerfile + push backend image to Container Registry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BioCreative authors; BW hosts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t xml:space="preserve">hosting target —</w:t>
      </w:r>
      <w:r>
        <w:t xml:space="preserve"> </w:t>
      </w:r>
      <w:r>
        <w:rPr>
          <w:b/>
          <w:bCs/>
        </w:rPr>
        <w:t xml:space="preserve">Static Web Apps</w:t>
      </w:r>
      <w:r>
        <w:t xml:space="preserve"> </w:t>
      </w:r>
      <w:r>
        <w:t xml:space="preserve">vs</w:t>
      </w:r>
      <w:r>
        <w:t xml:space="preserve"> </w:t>
      </w:r>
      <w:r>
        <w:rPr>
          <w:b/>
          <w:bCs/>
        </w:rPr>
        <w:t xml:space="preserve">Container Apps</w:t>
      </w:r>
      <w:r>
        <w:t xml:space="preserve"> </w:t>
      </w:r>
      <w:r>
        <w:t xml:space="preserve">vs</w:t>
      </w:r>
      <w:r>
        <w:t xml:space="preserve"> </w:t>
      </w:r>
      <w:r>
        <w:rPr>
          <w:b/>
          <w:bCs/>
        </w:rPr>
        <w:t xml:space="preserve">App Service</w:t>
      </w:r>
      <w:r>
        <w:t xml:space="preserve">.</w:t>
      </w:r>
      <w:r>
        <w:t xml:space="preserve"> </w:t>
      </w:r>
      <w:r>
        <w:rPr>
          <w:i/>
          <w:iCs/>
        </w:rPr>
        <w:t xml:space="preserve">BC recommendation: SWA for the frontend (cheapest, built for SPAs), Container Apps for the API middleware.</w:t>
      </w:r>
    </w:p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t xml:space="preserve">does BW mandate</w:t>
      </w:r>
      <w:r>
        <w:t xml:space="preserve"> </w:t>
      </w:r>
      <w:r>
        <w:rPr>
          <w:b/>
          <w:bCs/>
        </w:rPr>
        <w:t xml:space="preserve">Power Platform</w:t>
      </w:r>
      <w:r>
        <w:t xml:space="preserve"> </w:t>
      </w:r>
      <w:r>
        <w:t xml:space="preserve">for the frontend, or accept the existing React SPA?</w:t>
      </w:r>
      <w:r>
        <w:t xml:space="preserve"> </w:t>
      </w:r>
      <w:r>
        <w:rPr>
          <w:i/>
          <w:iCs/>
        </w:rPr>
        <w:t xml:space="preserve">BC recommendation: keep the React SPA — no capability is lost by removing Lovable (it’s just hosting), and a Power Apps rewrite is a separate multi-month project with no migration benefit.</w:t>
      </w:r>
    </w:p>
    <w:bookmarkEnd w:id="14"/>
    <w:bookmarkStart w:id="15" w:name="phase-3-edge-functions-26-denots-azure"/>
    <w:p>
      <w:pPr>
        <w:pStyle w:val="Heading3"/>
      </w:pPr>
      <w:r>
        <w:t xml:space="preserve">Phase 3 — Edge Functions (26 Deno/TS → Azure)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move the 26 serverless functions from Supabase Edge to Azure.</w:t>
      </w:r>
    </w:p>
    <w:p>
      <w:pPr>
        <w:pStyle w:val="BodyText"/>
      </w:pPr>
      <w:r>
        <w:rPr>
          <w:b/>
          <w:bCs/>
        </w:rPr>
        <w:t xml:space="preserve">Prerequisites:</w:t>
      </w:r>
      <w:r>
        <w:t xml:space="preserve"> </w:t>
      </w:r>
      <w:r>
        <w:t xml:space="preserve">Phase 1 (functions need the Azure SQL connection), Phase 2 partially (functions need Key Vault access).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3.1</w:t>
            </w:r>
          </w:p>
        </w:tc>
        <w:tc>
          <w:tcPr/>
          <w:p>
            <w:pPr>
              <w:pStyle w:val="Compact"/>
            </w:pPr>
            <w:r>
              <w:t xml:space="preserve">Containerize Deno functions on Container Apps (preferred)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Preserves Deno/TS code; Docker +</w:t>
            </w:r>
            <w:r>
              <w:t xml:space="preserve"> </w:t>
            </w:r>
            <w:r>
              <w:rPr>
                <w:rStyle w:val="VerbatimChar"/>
              </w:rPr>
              <w:t xml:space="preserve">deno serve</w:t>
            </w:r>
            <w:r>
              <w:t xml:space="preserve">. Lowest 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3.2</w:t>
            </w:r>
          </w:p>
        </w:tc>
        <w:tc>
          <w:tcPr/>
          <w:p>
            <w:pPr>
              <w:pStyle w:val="Compact"/>
            </w:pPr>
            <w:r>
              <w:t xml:space="preserve">OR rewrite Deno → Node for Azure Functions</w:t>
            </w:r>
          </w:p>
        </w:tc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Deno.env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process.env</w:t>
            </w:r>
            <w:r>
              <w:t xml:space="preserve">, URL imports → npm, top-level await changes. Only if BW mandates pure FaaS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3.3</w:t>
            </w:r>
          </w:p>
        </w:tc>
        <w:tc>
          <w:tcPr/>
          <w:p>
            <w:pPr>
              <w:pStyle w:val="Compact"/>
            </w:pPr>
            <w:r>
              <w:t xml:space="preserve">Rewire secrets: Supabase Vault → Key Vault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Per-function; mechanical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3.4</w:t>
            </w:r>
          </w:p>
        </w:tc>
        <w:tc>
          <w:tcPr/>
          <w:p>
            <w:pPr>
              <w:pStyle w:val="Compact"/>
            </w:pPr>
            <w:r>
              <w:t xml:space="preserve">Rewire DB calls:</w:t>
            </w:r>
            <w:r>
              <w:t xml:space="preserve"> </w:t>
            </w:r>
            <w:r>
              <w:rPr>
                <w:rStyle w:val="VerbatimChar"/>
              </w:rPr>
              <w:t xml:space="preserve">supabase-js</w:t>
            </w:r>
            <w:r>
              <w:t xml:space="preserve"> </w:t>
            </w:r>
            <w:r>
              <w:t xml:space="preserve">→ direct Azure SQL connection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Replace Supabase client with</w:t>
            </w:r>
            <w:r>
              <w:t xml:space="preserve"> </w:t>
            </w:r>
            <w:r>
              <w:rPr>
                <w:rStyle w:val="VerbatimChar"/>
              </w:rPr>
              <w:t xml:space="preserve">mssql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tedious</w:t>
            </w:r>
            <w:r>
              <w:t xml:space="preserve"> </w:t>
            </w:r>
            <w:r>
              <w:t xml:space="preserve">driver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3.5</w:t>
            </w:r>
          </w:p>
        </w:tc>
        <w:tc>
          <w:tcPr/>
          <w:p>
            <w:pPr>
              <w:pStyle w:val="Compact"/>
            </w:pPr>
            <w:r>
              <w:t xml:space="preserve">AI model calls: keys in Key Vault, call Anthropic/OpenAI directly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Foundry Model Router optional later as a drop-in endpoint; not required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rPr>
          <w:b/>
          <w:bCs/>
        </w:rPr>
        <w:t xml:space="preserve">containerize Deno</w:t>
      </w:r>
      <w:r>
        <w:t xml:space="preserve"> </w:t>
      </w:r>
      <w:r>
        <w:t xml:space="preserve">(lower effort, preserves code) vs</w:t>
      </w:r>
      <w:r>
        <w:t xml:space="preserve"> </w:t>
      </w:r>
      <w:r>
        <w:rPr>
          <w:b/>
          <w:bCs/>
        </w:rPr>
        <w:t xml:space="preserve">rewrite to Node</w:t>
      </w:r>
      <w:r>
        <w:t xml:space="preserve"> </w:t>
      </w:r>
      <w:r>
        <w:t xml:space="preserve">(Azure Functions native).</w:t>
      </w:r>
      <w:r>
        <w:t xml:space="preserve"> </w:t>
      </w:r>
      <w:r>
        <w:rPr>
          <w:i/>
          <w:iCs/>
        </w:rPr>
        <w:t xml:space="preserve">BC recommendation: containerize on Container Apps.</w:t>
      </w:r>
    </w:p>
    <w:bookmarkEnd w:id="15"/>
    <w:bookmarkStart w:id="18" w:name="X2902c63f5fd51d7fcc27be2acb4534545bd08a3"/>
    <w:p>
      <w:pPr>
        <w:pStyle w:val="Heading3"/>
      </w:pPr>
      <w:r>
        <w:t xml:space="preserve">Phase 4 — Upstream Internalization (the supply chain → CARR-owned)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move the external data pipeline (Layer 4) from BC infrastructure to CARR-owned Azure. This is</w:t>
      </w:r>
      <w:r>
        <w:t xml:space="preserve"> </w:t>
      </w:r>
      <w:r>
        <w:rPr>
          <w:b/>
          <w:bCs/>
        </w:rPr>
        <w:t xml:space="preserve">two distinct tracks</w:t>
      </w:r>
      <w:r>
        <w:t xml:space="preserve"> </w:t>
      </w:r>
      <w:r>
        <w:t xml:space="preserve">— the APIs (subscriptions + keys + wiring) and the Agent Virtual Environment (the compute that runs the agents). They can proceed in parallel: the APIs are procurement, the VE is a build.</w:t>
      </w:r>
    </w:p>
    <w:p>
      <w:pPr>
        <w:pStyle w:val="BodyText"/>
      </w:pPr>
      <w:r>
        <w:rPr>
          <w:b/>
          <w:bCs/>
        </w:rPr>
        <w:t xml:space="preserve">Prerequisites:</w:t>
      </w:r>
      <w:r>
        <w:t xml:space="preserve"> </w:t>
      </w:r>
      <w:r>
        <w:t xml:space="preserve">Phase 1 (agents write to Azure SQL).</w:t>
      </w:r>
      <w:r>
        <w:t xml:space="preserve"> </w:t>
      </w:r>
      <w:r>
        <w:rPr>
          <w:b/>
          <w:bCs/>
        </w:rPr>
        <w:t xml:space="preserve">Foundry is NOT a prerequisite</w:t>
      </w:r>
      <w:r>
        <w:t xml:space="preserve"> </w:t>
      </w:r>
      <w:r>
        <w:t xml:space="preserve">— the fleet is built container-first on Azure Container Apps; Foundry is an optional later deployment target (see D5).</w:t>
      </w:r>
    </w:p>
    <w:bookmarkStart w:id="16" w:name="Xefe573979b6cc46fad6762a361ed2232b7c1d97"/>
    <w:p>
      <w:pPr>
        <w:pStyle w:val="Heading4"/>
      </w:pPr>
      <w:r>
        <w:t xml:space="preserve">Track 4a — API access (CARR’s own subscriptions + keys)</w:t>
      </w:r>
    </w:p>
    <w:p>
      <w:pPr>
        <w:pStyle w:val="FirstParagraph"/>
      </w:pPr>
      <w:r>
        <w:t xml:space="preserve">CARR takes over the 4a data-source APIs by signing their own third-party plans and wiring the integration code to their keys.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4a.1</w:t>
            </w:r>
          </w:p>
        </w:tc>
        <w:tc>
          <w:tcPr/>
          <w:p>
            <w:pPr>
              <w:pStyle w:val="Compact"/>
            </w:pPr>
            <w:r>
              <w:t xml:space="preserve">Provision CARR’s own accounts for the sourcing/enrichment SaaS: Sales Navigator, PhantomBuster, Clay, FullEnrich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Procurement — CARR-held contracts + billing, not BC’s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4a.2</w:t>
            </w:r>
          </w:p>
        </w:tc>
        <w:tc>
          <w:tcPr/>
          <w:p>
            <w:pPr>
              <w:pStyle w:val="Compact"/>
            </w:pPr>
            <w:r>
              <w:t xml:space="preserve">Store all third-party API keys in Azure Key Vault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Replaces BC’s key storage; one secret per service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4a.3</w:t>
            </w:r>
          </w:p>
        </w:tc>
        <w:tc>
          <w:tcPr/>
          <w:p>
            <w:pPr>
              <w:pStyle w:val="Compact"/>
            </w:pPr>
            <w:r>
              <w:t xml:space="preserve">Confirm the public life-science/news APIs need no paid plan (ClinicalTrials.gov, NIH RePORTER, SEC EDGAR, PatentsView, PubMed, RSS)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Free/public — just register app keys where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4a.4</w:t>
            </w:r>
          </w:p>
        </w:tc>
        <w:tc>
          <w:tcPr/>
          <w:p>
            <w:pPr>
              <w:pStyle w:val="Compact"/>
            </w:pPr>
            <w:r>
              <w:t xml:space="preserve">Build the integration code chains (pull/push) against CARR’s keys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The code that calls each API; runs inside the 4b environment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t xml:space="preserve">which APIs does CARR subscribe to</w:t>
      </w:r>
      <w:r>
        <w:t xml:space="preserve"> </w:t>
      </w:r>
      <w:r>
        <w:rPr>
          <w:b/>
          <w:bCs/>
        </w:rPr>
        <w:t xml:space="preserve">directly now</w:t>
      </w:r>
      <w:r>
        <w:t xml:space="preserve"> </w:t>
      </w:r>
      <w:r>
        <w:t xml:space="preserve">vs keep</w:t>
      </w:r>
      <w:r>
        <w:t xml:space="preserve"> </w:t>
      </w:r>
      <w:r>
        <w:rPr>
          <w:b/>
          <w:bCs/>
        </w:rPr>
        <w:t xml:space="preserve">BC-fed during transition</w:t>
      </w:r>
      <w:r>
        <w:t xml:space="preserve">?</w:t>
      </w:r>
      <w:r>
        <w:t xml:space="preserve"> </w:t>
      </w:r>
      <w:r>
        <w:rPr>
          <w:i/>
          <w:iCs/>
        </w:rPr>
        <w:t xml:space="preserve">BC recommendation: stand up the enrichment SaaS (Clay/FullEnrich) first; keep public life-sci feeds BC-fed until the Ingestion agent is live.</w:t>
      </w:r>
    </w:p>
    <w:bookmarkEnd w:id="16"/>
    <w:bookmarkStart w:id="17" w:name="Xd6dc45c9d4f551b975393257495b7fa4e892c70"/>
    <w:p>
      <w:pPr>
        <w:pStyle w:val="Heading4"/>
      </w:pPr>
      <w:r>
        <w:t xml:space="preserve">Track 4b — Agent Virtual Environment (CARR’s own compute)</w:t>
      </w:r>
    </w:p>
    <w:p>
      <w:pPr>
        <w:pStyle w:val="FirstParagraph"/>
      </w:pPr>
      <w:r>
        <w:t xml:space="preserve">CARR stands up its own virtual environment to run the agents that consume the 4a APIs and do the capture → summarize → match → enrich → internalize work.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4b.1</w:t>
            </w:r>
          </w:p>
        </w:tc>
        <w:tc>
          <w:tcPr/>
          <w:p>
            <w:pPr>
              <w:pStyle w:val="Compact"/>
            </w:pPr>
            <w:r>
              <w:t xml:space="preserve">Stand up the virtual environment: Azure Container Apps + Functions timers (the</w:t>
            </w:r>
            <w:r>
              <w:t xml:space="preserve"> </w:t>
            </w:r>
            <w:r>
              <w:t xml:space="preserve">“VPS equivalent”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The scheduled-compute home for the fleet; replaces bc-ops crons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4b.2</w:t>
            </w:r>
          </w:p>
        </w:tc>
        <w:tc>
          <w:tcPr/>
          <w:p>
            <w:pPr>
              <w:pStyle w:val="Compact"/>
            </w:pPr>
            <w:r>
              <w:t xml:space="preserve">Re-host bc-ops crons as Functions timer triggers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carr_burst_classify_seed.sh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sync_carr_emails.py</w:t>
            </w:r>
            <w:r>
              <w:t xml:space="preserve">, Clay push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4b.3</w:t>
            </w:r>
          </w:p>
        </w:tc>
        <w:tc>
          <w:tcPr/>
          <w:p>
            <w:pPr>
              <w:pStyle w:val="Compact"/>
            </w:pPr>
            <w:r>
              <w:t xml:space="preserve">Port Colab notebooks into the environment (Container Apps jobs / Azure ML; Foundry optional)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Import, classify, enrich, match — manual-run becomes scheduled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4b.4</w:t>
            </w:r>
          </w:p>
        </w:tc>
        <w:tc>
          <w:tcPr/>
          <w:p>
            <w:pPr>
              <w:pStyle w:val="Compact"/>
            </w:pPr>
            <w:r>
              <w:t xml:space="preserve">Build the 7-agent CARR fleet in the environment</w:t>
            </w:r>
          </w:p>
        </w:tc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Ingestion, Enrichment, Account-Matching (HITL), Classification, SSO, Content, Orchestrator. See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rPr>
          <w:b/>
          <w:bCs/>
        </w:rPr>
        <w:t xml:space="preserve">agent host</w:t>
      </w:r>
      <w:r>
        <w:t xml:space="preserve"> </w:t>
      </w:r>
      <w:r>
        <w:t xml:space="preserve">— Container Apps vs Foundry Hosted Agents for the VE.</w:t>
      </w:r>
      <w:r>
        <w:t xml:space="preserve"> </w:t>
      </w:r>
      <w:r>
        <w:rPr>
          <w:i/>
          <w:iCs/>
        </w:rPr>
        <w:t xml:space="preserve">BC recommendation (updated 2026-08-07):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build container-first on Container Apps</w:t>
      </w:r>
      <w:r>
        <w:rPr>
          <w:i/>
          <w:iCs/>
        </w:rPr>
        <w:t xml:space="preserve"> </w:t>
      </w:r>
      <w:r>
        <w:rPr>
          <w:i/>
          <w:iCs/>
        </w:rPr>
        <w:t xml:space="preserve">— it matches how BC already builds, is portable/provider-agnostic, and needs no Foundry access. Because Foundry Hosted Agents accept a container image, the same image lifts into Foundry later with little rework, so Foundry stays an optional add-on (Model Router, Foundry IQ RAG, managed eval/identity) rather than a dependency.</w:t>
      </w:r>
    </w:p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rPr>
          <w:b/>
          <w:bCs/>
        </w:rPr>
        <w:t xml:space="preserve">review-queue ownership</w:t>
      </w:r>
      <w:r>
        <w:t xml:space="preserve"> </w:t>
      </w:r>
      <w:r>
        <w:t xml:space="preserve">during transition — who works the Account-Matching + message-QA queues? BC, CARR reps, or BW ops?</w:t>
      </w:r>
    </w:p>
    <w:bookmarkEnd w:id="17"/>
    <w:bookmarkEnd w:id="18"/>
    <w:bookmarkStart w:id="19" w:name="X1388ab4aa3062fbeee29da574650e6d8eb2ff59"/>
    <w:p>
      <w:pPr>
        <w:pStyle w:val="Heading3"/>
      </w:pPr>
      <w:r>
        <w:t xml:space="preserve">Phase 5 — Hub Retirement (standalone CARR on Azure)</w:t>
      </w:r>
    </w:p>
    <w:p>
      <w:pPr>
        <w:pStyle w:val="FirstParagraph"/>
      </w:pPr>
      <w:r>
        <w:rPr>
          <w:b/>
          <w:bCs/>
        </w:rPr>
        <w:t xml:space="preserve">Goal:</w:t>
      </w:r>
      <w:r>
        <w:t xml:space="preserve"> </w:t>
      </w:r>
      <w:r>
        <w:t xml:space="preserve">remove CARR’s dependency on the BC Hub database, making CARR fully standalone on Azure.</w:t>
      </w:r>
    </w:p>
    <w:p>
      <w:pPr>
        <w:pStyle w:val="BodyText"/>
      </w:pPr>
      <w:r>
        <w:rPr>
          <w:b/>
          <w:bCs/>
        </w:rPr>
        <w:t xml:space="preserve">Prerequisites:</w:t>
      </w:r>
      <w:r>
        <w:t xml:space="preserve"> </w:t>
      </w:r>
      <w:r>
        <w:t xml:space="preserve">Phase 4 (Ingestion agent built), per-source parity validation.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Effort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5.1</w:t>
            </w:r>
          </w:p>
        </w:tc>
        <w:tc>
          <w:tcPr/>
          <w:p>
            <w:pPr>
              <w:pStyle w:val="Compact"/>
            </w:pPr>
            <w:r>
              <w:t xml:space="preserve">Ingestion agent Phase 2: direct ClinicalTrials.gov pulls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sync_clinical_trials_from_hub</w:t>
            </w:r>
            <w:r>
              <w:t xml:space="preserve"> </w:t>
            </w:r>
            <w:r>
              <w:t xml:space="preserve">with direct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5.2</w:t>
            </w:r>
          </w:p>
        </w:tc>
        <w:tc>
          <w:tcPr/>
          <w:p>
            <w:pPr>
              <w:pStyle w:val="Compact"/>
            </w:pPr>
            <w:r>
              <w:t xml:space="preserve">Direct NIH RePORTER, SEC EDGAR, PatentsView pulls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sync_grants_from_hub</w:t>
            </w:r>
            <w:r>
              <w:t xml:space="preserve"> </w:t>
            </w:r>
            <w:r>
              <w:t xml:space="preserve">etc.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5.3</w:t>
            </w:r>
          </w:p>
        </w:tc>
        <w:tc>
          <w:tcPr/>
          <w:p>
            <w:pPr>
              <w:pStyle w:val="Compact"/>
            </w:pPr>
            <w:r>
              <w:t xml:space="preserve">Direct news/RSS ingestion</w:t>
            </w:r>
          </w:p>
        </w:tc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sync_news_from_life_science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5.4</w:t>
            </w:r>
          </w:p>
        </w:tc>
        <w:tc>
          <w:tcPr/>
          <w:p>
            <w:pPr>
              <w:pStyle w:val="Compact"/>
            </w:pPr>
            <w:r>
              <w:t xml:space="preserve">Academic intelligence direct pulls</w:t>
            </w:r>
          </w:p>
        </w:tc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sync_academic_*_from_hub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5.5</w:t>
            </w:r>
          </w:p>
        </w:tc>
        <w:tc>
          <w:tcPr/>
          <w:p>
            <w:pPr>
              <w:pStyle w:val="Compact"/>
            </w:pPr>
            <w:r>
              <w:t xml:space="preserve">Validate parity per source, then retire Hub feed</w:t>
            </w:r>
          </w:p>
        </w:tc>
        <w:tc>
          <w:tcPr/>
          <w:p>
            <w:pPr>
              <w:pStyle w:val="Compact"/>
            </w:pPr>
            <w:r>
              <w:t xml:space="preserve">S per source</w:t>
            </w:r>
          </w:p>
        </w:tc>
        <w:tc>
          <w:tcPr/>
          <w:p>
            <w:pPr>
              <w:pStyle w:val="Compact"/>
            </w:pPr>
            <w:r>
              <w:t xml:space="preserve">Cut over one source at a time; keep Hub as fallback until parity proven</w:t>
            </w:r>
          </w:p>
        </w:tc>
      </w:tr>
    </w:tbl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rPr>
          <w:b/>
          <w:bCs/>
        </w:rPr>
        <w:t xml:space="preserve">Hub retirement pace</w:t>
      </w:r>
      <w:r>
        <w:t xml:space="preserve"> </w:t>
      </w:r>
      <w:r>
        <w:t xml:space="preserve">— which sources does BW want pulled directly first? Does any source stay on the BC Hub long-term?</w:t>
      </w:r>
    </w:p>
    <w:p>
      <w:pPr>
        <w:pStyle w:val="BodyText"/>
      </w:pPr>
      <w:r>
        <w:rPr>
          <w:b/>
          <w:bCs/>
        </w:rPr>
        <w:t xml:space="preserve">⚡ Decision needed:</w:t>
      </w:r>
      <w:r>
        <w:t xml:space="preserve"> </w:t>
      </w:r>
      <w:r>
        <w:rPr>
          <w:b/>
          <w:bCs/>
        </w:rPr>
        <w:t xml:space="preserve">vendor retention</w:t>
      </w:r>
      <w:r>
        <w:t xml:space="preserve"> </w:t>
      </w:r>
      <w:r>
        <w:t xml:space="preserve">— keep Clay/FullEnrich behind the Enrichment agent, or move to an Azure-native enrichment provider?</w:t>
      </w:r>
    </w:p>
    <w:bookmarkEnd w:id="19"/>
    <w:bookmarkEnd w:id="20"/>
    <w:bookmarkStart w:id="21" w:name="decisions-summary"/>
    <w:p>
      <w:pPr>
        <w:pStyle w:val="Heading2"/>
      </w:pPr>
      <w:r>
        <w:t xml:space="preserve">Decisions 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Who decides</w:t>
            </w:r>
          </w:p>
        </w:tc>
        <w:tc>
          <w:tcPr/>
          <w:p>
            <w:pPr>
              <w:pStyle w:val="Compact"/>
            </w:pPr>
            <w:r>
              <w:t xml:space="preserve">Blocks</w:t>
            </w:r>
          </w:p>
        </w:tc>
        <w:tc>
          <w:tcPr/>
          <w:p>
            <w:pPr>
              <w:pStyle w:val="Compact"/>
            </w:pPr>
            <w:r>
              <w:t xml:space="preserve">BC recommendation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t xml:space="preserve">Azure SQL flavor (SQL Database vs Managed Instance)</w:t>
            </w:r>
          </w:p>
        </w:tc>
        <w:tc>
          <w:tcPr/>
          <w:p>
            <w:pPr>
              <w:pStyle w:val="Compact"/>
            </w:pPr>
            <w:r>
              <w:t xml:space="preserve">BW DBA team</w:t>
            </w:r>
          </w:p>
        </w:tc>
        <w:tc>
          <w:tcPr/>
          <w:p>
            <w:pPr>
              <w:pStyle w:val="Compact"/>
            </w:pPr>
            <w:r>
              <w:t xml:space="preserve">Phase 1 (job scheduling)</w:t>
            </w:r>
          </w:p>
        </w:tc>
        <w:tc>
          <w:tcPr/>
          <w:p>
            <w:pPr>
              <w:pStyle w:val="Compact"/>
            </w:pPr>
            <w:r>
              <w:t xml:space="preserve">SQL Database + Elastic Jobs (</w:t>
            </w:r>
            <w:r>
              <w:rPr>
                <w:b/>
                <w:bCs/>
              </w:rPr>
              <w:t xml:space="preserve">now GA</w:t>
            </w:r>
            <w:r>
              <w:t xml:space="preserve"> </w:t>
            </w:r>
            <w:r>
              <w:t xml:space="preserve">— billed per job-agent tier)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t xml:space="preserve">Frontend hosting (SWA vs ACA vs App Service)</w:t>
            </w:r>
          </w:p>
        </w:tc>
        <w:tc>
          <w:tcPr/>
          <w:p>
            <w:pPr>
              <w:pStyle w:val="Compact"/>
            </w:pPr>
            <w:r>
              <w:t xml:space="preserve">BW cloud ops</w:t>
            </w:r>
          </w:p>
        </w:tc>
        <w:tc>
          <w:tcPr/>
          <w:p>
            <w:pPr>
              <w:pStyle w:val="Compact"/>
            </w:pPr>
            <w:r>
              <w:t xml:space="preserve">Phase 2</w:t>
            </w:r>
          </w:p>
        </w:tc>
        <w:tc>
          <w:tcPr/>
          <w:p>
            <w:pPr>
              <w:pStyle w:val="Compact"/>
            </w:pPr>
            <w:r>
              <w:t xml:space="preserve">SWA for frontend, ACA for 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t xml:space="preserve">React SPA vs Power Platform</w:t>
            </w:r>
          </w:p>
        </w:tc>
        <w:tc>
          <w:tcPr/>
          <w:p>
            <w:pPr>
              <w:pStyle w:val="Compact"/>
            </w:pPr>
            <w:r>
              <w:t xml:space="preserve">BW + CARR</w:t>
            </w:r>
          </w:p>
        </w:tc>
        <w:tc>
          <w:tcPr/>
          <w:p>
            <w:pPr>
              <w:pStyle w:val="Compact"/>
            </w:pPr>
            <w:r>
              <w:t xml:space="preserve">Phase 2</w:t>
            </w:r>
          </w:p>
        </w:tc>
        <w:tc>
          <w:tcPr/>
          <w:p>
            <w:pPr>
              <w:pStyle w:val="Compact"/>
            </w:pPr>
            <w:r>
              <w:t xml:space="preserve">Keep React SPA (no rewrite needed)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t xml:space="preserve">Edge Functions: containerize Deno vs rewrite to Node</w:t>
            </w:r>
          </w:p>
        </w:tc>
        <w:tc>
          <w:tcPr/>
          <w:p>
            <w:pPr>
              <w:pStyle w:val="Compact"/>
            </w:pPr>
            <w:r>
              <w:t xml:space="preserve">BW + BC</w:t>
            </w:r>
          </w:p>
        </w:tc>
        <w:tc>
          <w:tcPr/>
          <w:p>
            <w:pPr>
              <w:pStyle w:val="Compact"/>
            </w:pPr>
            <w:r>
              <w:t xml:space="preserve">Phase 3</w:t>
            </w:r>
          </w:p>
        </w:tc>
        <w:tc>
          <w:tcPr/>
          <w:p>
            <w:pPr>
              <w:pStyle w:val="Compact"/>
            </w:pPr>
            <w:r>
              <w:t xml:space="preserve">Containerize on ACA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D5</w:t>
            </w:r>
          </w:p>
        </w:tc>
        <w:tc>
          <w:tcPr/>
          <w:p>
            <w:pPr>
              <w:pStyle w:val="Compact"/>
            </w:pPr>
            <w:r>
              <w:t xml:space="preserve">Agent host (Container Apps vs Foundry) for the virtual environment</w:t>
            </w:r>
          </w:p>
        </w:tc>
        <w:tc>
          <w:tcPr/>
          <w:p>
            <w:pPr>
              <w:pStyle w:val="Compact"/>
            </w:pPr>
            <w:r>
              <w:t xml:space="preserve">BW + BC</w:t>
            </w:r>
          </w:p>
        </w:tc>
        <w:tc>
          <w:tcPr/>
          <w:p>
            <w:pPr>
              <w:pStyle w:val="Compact"/>
            </w:pPr>
            <w:r>
              <w:t xml:space="preserve">Phase 4b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Container-first on Container Apps</w:t>
            </w:r>
            <w:r>
              <w:t xml:space="preserve"> </w:t>
            </w:r>
            <w:r>
              <w:t xml:space="preserve">(portable, no Foundry-access dependency); same image lifts into Foundry later if BW wants the managed edges (routing/RAG/eval)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D6</w:t>
            </w:r>
          </w:p>
        </w:tc>
        <w:tc>
          <w:tcPr/>
          <w:p>
            <w:pPr>
              <w:pStyle w:val="Compact"/>
            </w:pPr>
            <w:r>
              <w:t xml:space="preserve">Review-queue ownership during transition</w:t>
            </w:r>
          </w:p>
        </w:tc>
        <w:tc>
          <w:tcPr/>
          <w:p>
            <w:pPr>
              <w:pStyle w:val="Compact"/>
            </w:pPr>
            <w:r>
              <w:t xml:space="preserve">BW + CARR</w:t>
            </w:r>
          </w:p>
        </w:tc>
        <w:tc>
          <w:tcPr/>
          <w:p>
            <w:pPr>
              <w:pStyle w:val="Compact"/>
            </w:pPr>
            <w:r>
              <w:t xml:space="preserve">Phase 4b</w:t>
            </w:r>
          </w:p>
        </w:tc>
        <w:tc>
          <w:tcPr/>
          <w:p>
            <w:pPr>
              <w:pStyle w:val="Compact"/>
            </w:pPr>
            <w:r>
              <w:t xml:space="preserve">BC initially, transition to CARR reps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D7</w:t>
            </w:r>
          </w:p>
        </w:tc>
        <w:tc>
          <w:tcPr/>
          <w:p>
            <w:pPr>
              <w:pStyle w:val="Compact"/>
            </w:pPr>
            <w:r>
              <w:t xml:space="preserve">Hub retirement pace</w:t>
            </w:r>
          </w:p>
        </w:tc>
        <w:tc>
          <w:tcPr/>
          <w:p>
            <w:pPr>
              <w:pStyle w:val="Compact"/>
            </w:pPr>
            <w:r>
              <w:t xml:space="preserve">BW + CARR</w:t>
            </w:r>
          </w:p>
        </w:tc>
        <w:tc>
          <w:tcPr/>
          <w:p>
            <w:pPr>
              <w:pStyle w:val="Compact"/>
            </w:pPr>
            <w:r>
              <w:t xml:space="preserve">Phase 5</w:t>
            </w:r>
          </w:p>
        </w:tc>
        <w:tc>
          <w:tcPr/>
          <w:p>
            <w:pPr>
              <w:pStyle w:val="Compact"/>
            </w:pPr>
            <w:r>
              <w:t xml:space="preserve">Phased, one source at a 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D8</w:t>
            </w:r>
          </w:p>
        </w:tc>
        <w:tc>
          <w:tcPr/>
          <w:p>
            <w:pPr>
              <w:pStyle w:val="Compact"/>
            </w:pPr>
            <w:r>
              <w:t xml:space="preserve">Vendor retention (Clay/FullEnrich)</w:t>
            </w:r>
          </w:p>
        </w:tc>
        <w:tc>
          <w:tcPr/>
          <w:p>
            <w:pPr>
              <w:pStyle w:val="Compact"/>
            </w:pPr>
            <w:r>
              <w:t xml:space="preserve">BW + CARR</w:t>
            </w:r>
          </w:p>
        </w:tc>
        <w:tc>
          <w:tcPr/>
          <w:p>
            <w:pPr>
              <w:pStyle w:val="Compact"/>
            </w:pPr>
            <w:r>
              <w:t xml:space="preserve">Phase 4–5</w:t>
            </w:r>
          </w:p>
        </w:tc>
        <w:tc>
          <w:tcPr/>
          <w:p>
            <w:pPr>
              <w:pStyle w:val="Compact"/>
            </w:pPr>
            <w:r>
              <w:t xml:space="preserve">Keep vendors initially behind the agent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D9</w:t>
            </w:r>
          </w:p>
        </w:tc>
        <w:tc>
          <w:tcPr/>
          <w:p>
            <w:pPr>
              <w:pStyle w:val="Compact"/>
            </w:pPr>
            <w:r>
              <w:t xml:space="preserve">Which APIs CARR subscribes to directly now vs keep BC-fed during transition</w:t>
            </w:r>
          </w:p>
        </w:tc>
        <w:tc>
          <w:tcPr/>
          <w:p>
            <w:pPr>
              <w:pStyle w:val="Compact"/>
            </w:pPr>
            <w:r>
              <w:t xml:space="preserve">BW + CARR</w:t>
            </w:r>
          </w:p>
        </w:tc>
        <w:tc>
          <w:tcPr/>
          <w:p>
            <w:pPr>
              <w:pStyle w:val="Compact"/>
            </w:pPr>
            <w:r>
              <w:t xml:space="preserve">Phase 4a</w:t>
            </w:r>
          </w:p>
        </w:tc>
        <w:tc>
          <w:tcPr/>
          <w:p>
            <w:pPr>
              <w:pStyle w:val="Compact"/>
            </w:pPr>
            <w:r>
              <w:t xml:space="preserve">Enrichment SaaS first; public life-sci feeds BC-fed until Ingestion agent live</w:t>
            </w:r>
          </w:p>
        </w:tc>
      </w:tr>
    </w:tbl>
    <w:bookmarkEnd w:id="21"/>
    <w:bookmarkStart w:id="22" w:name="blockers"/>
    <w:p>
      <w:pPr>
        <w:pStyle w:val="Heading2"/>
      </w:pPr>
      <w:r>
        <w:t xml:space="preserve">Blockers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Blocker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Blocks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trike/>
              </w:rPr>
              <w:t xml:space="preserve">BW email credentials for Brian Elbert</w:t>
            </w:r>
          </w:p>
        </w:tc>
        <w:tc>
          <w:tcPr/>
          <w:p>
            <w:pPr>
              <w:pStyle w:val="Compact"/>
            </w:pPr>
            <w:r>
              <w:t xml:space="preserve">Chad Evans (BW) + Colby</w:t>
            </w:r>
          </w:p>
        </w:tc>
        <w:tc>
          <w:tcPr/>
          <w:p>
            <w:pPr>
              <w:pStyle w:val="Compact"/>
            </w:pPr>
            <w:r>
              <w:t xml:space="preserve">✅ Resolved 2026-07-27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trike/>
              </w:rPr>
              <w:t xml:space="preserve">Network path to</w:t>
            </w:r>
            <w:r>
              <w:rPr>
                <w:strike/>
              </w:rPr>
              <w:t xml:space="preserve"> </w:t>
            </w:r>
            <w:r>
              <w:rPr>
                <w:rStyle w:val="VerbatimChar"/>
                <w:strike/>
              </w:rPr>
              <w:t xml:space="preserve">cbsuse-sql01</w:t>
            </w:r>
            <w:r>
              <w:t xml:space="preserve"> </w:t>
            </w:r>
            <w:r>
              <w:t xml:space="preserve">— resolved by the in-VNet AVD</w:t>
            </w:r>
          </w:p>
        </w:tc>
        <w:tc>
          <w:tcPr/>
          <w:p>
            <w:pPr>
              <w:pStyle w:val="Compact"/>
            </w:pPr>
            <w:r>
              <w:t xml:space="preserve">BW cloud ops (Nancy)</w:t>
            </w:r>
          </w:p>
        </w:tc>
        <w:tc>
          <w:tcPr/>
          <w:p>
            <w:pPr>
              <w:pStyle w:val="Compact"/>
            </w:pPr>
            <w:r>
              <w:t xml:space="preserve">✅ Resolved 2026-08-06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 principal +</w:t>
            </w:r>
            <w:r>
              <w:t xml:space="preserve"> </w:t>
            </w:r>
            <w:r>
              <w:rPr>
                <w:rStyle w:val="VerbatimChar"/>
              </w:rPr>
              <w:t xml:space="preserve">db_owner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</w:p>
        </w:tc>
        <w:tc>
          <w:tcPr/>
          <w:p>
            <w:pPr>
              <w:pStyle w:val="Compact"/>
            </w:pPr>
            <w:r>
              <w:t xml:space="preserve">BW Entra/SQL admin</w:t>
            </w:r>
          </w:p>
        </w:tc>
        <w:tc>
          <w:tcPr/>
          <w:p>
            <w:pPr>
              <w:pStyle w:val="Compact"/>
            </w:pPr>
            <w:r>
              <w:t xml:space="preserve">⏳ Not granted —</w:t>
            </w:r>
            <w:r>
              <w:t xml:space="preserve"> </w:t>
            </w:r>
            <w:r>
              <w:rPr>
                <w:b/>
                <w:bCs/>
              </w:rPr>
              <w:t xml:space="preserve">now the critical path</w:t>
            </w:r>
          </w:p>
        </w:tc>
        <w:tc>
          <w:tcPr/>
          <w:p>
            <w:pPr>
              <w:pStyle w:val="Compact"/>
            </w:pPr>
            <w:r>
              <w:t xml:space="preserve">Phase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Portal Reader on RG + SQL server</w:t>
            </w:r>
          </w:p>
        </w:tc>
        <w:tc>
          <w:tcPr/>
          <w:p>
            <w:pPr>
              <w:pStyle w:val="Compact"/>
            </w:pPr>
            <w:r>
              <w:t xml:space="preserve">BW cloud ops</w:t>
            </w:r>
          </w:p>
        </w:tc>
        <w:tc>
          <w:tcPr/>
          <w:p>
            <w:pPr>
              <w:pStyle w:val="Compact"/>
            </w:pPr>
            <w:r>
              <w:t xml:space="preserve">⏳ Never requested</w:t>
            </w:r>
          </w:p>
        </w:tc>
        <w:tc>
          <w:tcPr/>
          <w:p>
            <w:pPr>
              <w:pStyle w:val="Compact"/>
            </w:pPr>
            <w:r>
              <w:t xml:space="preserve">Self-service diagnostics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Written confirmation</w:t>
            </w:r>
            <w:r>
              <w:t xml:space="preserve"> </w:t>
            </w:r>
            <w:r>
              <w:rPr>
                <w:rStyle w:val="VerbatimChar"/>
              </w:rPr>
              <w:t xml:space="preserve">siplatform</w:t>
            </w:r>
            <w:r>
              <w:t xml:space="preserve"> </w:t>
            </w:r>
            <w:r>
              <w:t xml:space="preserve">is dedicated, not shared</w:t>
            </w:r>
          </w:p>
        </w:tc>
        <w:tc>
          <w:tcPr/>
          <w:p>
            <w:pPr>
              <w:pStyle w:val="Compact"/>
            </w:pPr>
            <w:r>
              <w:t xml:space="preserve">BW + Colby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1 DDL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Container Apps + Registry RG/permissions</w:t>
            </w:r>
          </w:p>
        </w:tc>
        <w:tc>
          <w:tcPr/>
          <w:p>
            <w:pPr>
              <w:pStyle w:val="Compact"/>
            </w:pPr>
            <w:r>
              <w:t xml:space="preserve">BW cloud ops</w:t>
            </w:r>
          </w:p>
        </w:tc>
        <w:tc>
          <w:tcPr/>
          <w:p>
            <w:pPr>
              <w:pStyle w:val="Compact"/>
            </w:pPr>
            <w:r>
              <w:t xml:space="preserve">⏳ Open</w:t>
            </w:r>
          </w:p>
        </w:tc>
        <w:tc>
          <w:tcPr/>
          <w:p>
            <w:pPr>
              <w:pStyle w:val="Compact"/>
            </w:pPr>
            <w:r>
              <w:t xml:space="preserve">Phase 2 (Dockerfile deploy)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Foundry access (no BW user found)</w:t>
            </w:r>
          </w:p>
        </w:tc>
        <w:tc>
          <w:tcPr/>
          <w:p>
            <w:pPr>
              <w:pStyle w:val="Compact"/>
            </w:pPr>
            <w:r>
              <w:t xml:space="preserve">BW + Colby</w:t>
            </w:r>
          </w:p>
        </w:tc>
        <w:tc>
          <w:tcPr/>
          <w:p>
            <w:pPr>
              <w:pStyle w:val="Compact"/>
            </w:pPr>
            <w:r>
              <w:t xml:space="preserve">⏳ Open —</w:t>
            </w:r>
            <w:r>
              <w:t xml:space="preserve"> </w:t>
            </w:r>
            <w:r>
              <w:rPr>
                <w:b/>
                <w:bCs/>
              </w:rPr>
              <w:t xml:space="preserve">not blocking</w:t>
            </w:r>
            <w:r>
              <w:t xml:space="preserve"> </w:t>
            </w:r>
            <w:r>
              <w:t xml:space="preserve">(Container Apps is the default host; Foundry is optional)</w:t>
            </w:r>
          </w:p>
        </w:tc>
        <w:tc>
          <w:tcPr/>
          <w:p>
            <w:pPr>
              <w:pStyle w:val="Compact"/>
            </w:pPr>
            <w:r>
              <w:t xml:space="preserve">Phase 4</w:t>
            </w:r>
            <w:r>
              <w:t xml:space="preserve"> </w:t>
            </w:r>
            <w:r>
              <w:rPr>
                <w:i/>
                <w:iCs/>
              </w:rPr>
              <w:t xml:space="preserve">only if</w:t>
            </w:r>
            <w:r>
              <w:t xml:space="preserve"> </w:t>
            </w:r>
            <w:r>
              <w:t xml:space="preserve">Foundry is chosen for the managed edges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Enterprise repo transfer</w:t>
            </w:r>
          </w:p>
        </w:tc>
        <w:tc>
          <w:tcPr/>
          <w:p>
            <w:pPr>
              <w:pStyle w:val="Compact"/>
            </w:pPr>
            <w:r>
              <w:t xml:space="preserve">Madhavan + Binoy</w:t>
            </w:r>
          </w:p>
        </w:tc>
        <w:tc>
          <w:tcPr/>
          <w:p>
            <w:pPr>
              <w:pStyle w:val="Compact"/>
            </w:pPr>
            <w:r>
              <w:t xml:space="preserve">🔄 In progress</w:t>
            </w:r>
          </w:p>
        </w:tc>
        <w:tc>
          <w:tcPr/>
          <w:p>
            <w:pPr>
              <w:pStyle w:val="Compact"/>
            </w:pPr>
            <w:r>
              <w:t xml:space="preserve">Phase 2 (CI/CD pipeline)</w:t>
            </w:r>
          </w:p>
        </w:tc>
      </w:tr>
    </w:tbl>
    <w:bookmarkEnd w:id="22"/>
    <w:bookmarkStart w:id="23" w:name="parallel-tracks"/>
    <w:p>
      <w:pPr>
        <w:pStyle w:val="Heading2"/>
      </w:pPr>
      <w:r>
        <w:t xml:space="preserve">Parallel tracks</w:t>
      </w:r>
    </w:p>
    <w:p>
      <w:pPr>
        <w:pStyle w:val="FirstParagraph"/>
      </w:pPr>
      <w:r>
        <w:t xml:space="preserve">Not everything is sequential. Once Phase 0 access lands: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A (database):</w:t>
      </w:r>
      <w:r>
        <w:t xml:space="preserve"> </w:t>
      </w:r>
      <w:r>
        <w:t xml:space="preserve">Phase 1 can begin immediately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B (app/auth):</w:t>
      </w:r>
      <w:r>
        <w:t xml:space="preserve"> </w:t>
      </w:r>
      <w:r>
        <w:t xml:space="preserve">Phase 2 can begin in parallel (the middleware design doesn’t need the DB conversion to be complete)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C (functions):</w:t>
      </w:r>
      <w:r>
        <w:t xml:space="preserve"> </w:t>
      </w:r>
      <w:r>
        <w:t xml:space="preserve">Phase 3 starts after Phase 1 is partially done (functions need the Azure SQL connection string)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D1 (APIs — Phase 4a):</w:t>
      </w:r>
      <w:r>
        <w:t xml:space="preserve"> </w:t>
      </w:r>
      <w:r>
        <w:t xml:space="preserve">CARR can procure their own API subscriptions + keys anytime; it’s independent of the DB/auth work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D2 (Agent VE — Phase 4b):</w:t>
      </w:r>
      <w:r>
        <w:t xml:space="preserve"> </w:t>
      </w:r>
      <w:r>
        <w:t xml:space="preserve">design can proceed in parallel; implementation needs Phase 1 done (agents write to Azure SQL) and consumes the Track D1 keys.</w:t>
      </w:r>
      <w:r>
        <w:t xml:space="preserve"> </w:t>
      </w:r>
      <w:r>
        <w:rPr>
          <w:b/>
          <w:bCs/>
        </w:rPr>
        <w:t xml:space="preserve">No Foundry access required</w:t>
      </w:r>
      <w:r>
        <w:t xml:space="preserve"> </w:t>
      </w:r>
      <w:r>
        <w:t xml:space="preserve">— built container-first on Container Apps; Foundry optional later</w:t>
      </w:r>
    </w:p>
    <w:bookmarkEnd w:id="23"/>
    <w:bookmarkStart w:id="24" w:name="cross-references"/>
    <w:p>
      <w:pPr>
        <w:pStyle w:val="Heading2"/>
      </w:pPr>
      <w:r>
        <w:t xml:space="preserve">Cross-references</w:t>
      </w:r>
    </w:p>
    <w:p>
      <w:pPr>
        <w:pStyle w:val="Compact"/>
        <w:numPr>
          <w:ilvl w:val="0"/>
          <w:numId w:val="1004"/>
        </w:numPr>
      </w:pPr>
      <w:r>
        <w:t xml:space="preserve">Architecture overview (the four layers):</w:t>
      </w:r>
      <w:r>
        <w:t xml:space="preserve"> </w:t>
      </w:r>
      <w:r>
        <w:rPr>
          <w:rStyle w:val="VerbatimChar"/>
        </w:rPr>
        <w:t xml:space="preserve">17_architecture_overview.md</w:t>
      </w:r>
    </w:p>
    <w:p>
      <w:pPr>
        <w:pStyle w:val="Compact"/>
        <w:numPr>
          <w:ilvl w:val="0"/>
          <w:numId w:val="1004"/>
        </w:numPr>
      </w:pPr>
      <w:r>
        <w:t xml:space="preserve">Database conversion scope:</w:t>
      </w:r>
      <w:r>
        <w:t xml:space="preserve"> </w:t>
      </w:r>
      <w:r>
        <w:rPr>
          <w:rStyle w:val="VerbatimChar"/>
        </w:rPr>
        <w:t xml:space="preserve">07_azure_sql_conversion.md</w:t>
      </w:r>
    </w:p>
    <w:p>
      <w:pPr>
        <w:pStyle w:val="Compact"/>
        <w:numPr>
          <w:ilvl w:val="0"/>
          <w:numId w:val="1004"/>
        </w:numPr>
      </w:pPr>
      <w:r>
        <w:t xml:space="preserve">Edge Function census:</w:t>
      </w:r>
      <w:r>
        <w:t xml:space="preserve"> </w:t>
      </w:r>
      <w:r>
        <w:rPr>
          <w:rStyle w:val="VerbatimChar"/>
        </w:rPr>
        <w:t xml:space="preserve">08_edge_function_census.md</w:t>
      </w:r>
    </w:p>
    <w:p>
      <w:pPr>
        <w:pStyle w:val="Compact"/>
        <w:numPr>
          <w:ilvl w:val="0"/>
          <w:numId w:val="1004"/>
        </w:numPr>
      </w:pPr>
      <w:r>
        <w:t xml:space="preserve">Upstream agents inventory:</w:t>
      </w:r>
      <w:r>
        <w:t xml:space="preserve"> </w:t>
      </w:r>
      <w:r>
        <w:rPr>
          <w:rStyle w:val="VerbatimChar"/>
        </w:rPr>
        <w:t xml:space="preserve">09_upstream_data_agents.md</w:t>
      </w:r>
    </w:p>
    <w:p>
      <w:pPr>
        <w:pStyle w:val="Compact"/>
        <w:numPr>
          <w:ilvl w:val="0"/>
          <w:numId w:val="1004"/>
        </w:numPr>
      </w:pPr>
      <w:r>
        <w:t xml:space="preserve">Planned 7-agent fleet:</w:t>
      </w:r>
      <w:r>
        <w:t xml:space="preserve"> </w:t>
      </w:r>
      <w:r>
        <w:rPr>
          <w:rStyle w:val="VerbatimChar"/>
        </w:rPr>
        <w:t xml:space="preserve">11_carr_agent_fleet.md</w:t>
      </w:r>
    </w:p>
    <w:p>
      <w:pPr>
        <w:pStyle w:val="Compact"/>
        <w:numPr>
          <w:ilvl w:val="0"/>
          <w:numId w:val="1004"/>
        </w:numPr>
      </w:pPr>
      <w:r>
        <w:t xml:space="preserve">Compute + frontend:</w:t>
      </w:r>
      <w:r>
        <w:t xml:space="preserve"> </w:t>
      </w:r>
      <w:r>
        <w:rPr>
          <w:rStyle w:val="VerbatimChar"/>
        </w:rPr>
        <w:t xml:space="preserve">03_compute_frontend.md</w:t>
      </w:r>
    </w:p>
    <w:p>
      <w:pPr>
        <w:pStyle w:val="Compact"/>
        <w:numPr>
          <w:ilvl w:val="0"/>
          <w:numId w:val="1004"/>
        </w:numPr>
      </w:pPr>
      <w:r>
        <w:t xml:space="preserve">Identity + DevOps:</w:t>
      </w:r>
      <w:r>
        <w:t xml:space="preserve"> </w:t>
      </w:r>
      <w:r>
        <w:rPr>
          <w:rStyle w:val="VerbatimChar"/>
        </w:rPr>
        <w:t xml:space="preserve">04_github_devops_governance.md</w:t>
      </w:r>
    </w:p>
    <w:p>
      <w:pPr>
        <w:pStyle w:val="Compact"/>
        <w:numPr>
          <w:ilvl w:val="0"/>
          <w:numId w:val="1004"/>
        </w:numPr>
      </w:pPr>
      <w:r>
        <w:t xml:space="preserve">Status + call notes:</w:t>
      </w:r>
      <w:r>
        <w:t xml:space="preserve"> </w:t>
      </w:r>
      <w:r>
        <w:rPr>
          <w:rStyle w:val="VerbatimChar"/>
        </w:rPr>
        <w:t xml:space="preserve">15_migration_status.md</w:t>
      </w:r>
    </w:p>
    <w:p>
      <w:pPr>
        <w:pStyle w:val="Compact"/>
        <w:numPr>
          <w:ilvl w:val="0"/>
          <w:numId w:val="1004"/>
        </w:numPr>
      </w:pPr>
      <w:r>
        <w:t xml:space="preserve">Client tooling + the three access grants (SSMS vs macOS clients, Private Endpoint):</w:t>
      </w:r>
      <w:r>
        <w:t xml:space="preserve"> </w:t>
      </w:r>
      <w:r>
        <w:rPr>
          <w:rStyle w:val="VerbatimChar"/>
        </w:rPr>
        <w:t xml:space="preserve">19_client_tooling_and_access.md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Migration Roadmap</dc:title>
  <dc:creator>BioCreative Strategies; Prepared for CARR Biosystems (Barry-Wehmiller)</dc:creator>
  <cp:keywords/>
  <dcterms:created xsi:type="dcterms:W3CDTF">2026-08-07T19:37:23Z</dcterms:created>
  <dcterms:modified xsi:type="dcterms:W3CDTF">2026-08-07T19:37:23Z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August 07, 2026</vt:lpwstr>
  </property>
</Properties>
</file>