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Client Tooling &amp; Database Access (SSMS, macOS clients, the three grants)</w:t>
      </w:r>
    </w:p>
    <w:p>
      <w:pPr>
        <w:pStyle w:val="Author"/>
      </w:pPr>
      <w:r>
        <w:t xml:space="preserve">BioCreative Strategies</w:t>
      </w:r>
    </w:p>
    <w:p>
      <w:pPr>
        <w:pStyle w:val="Author"/>
      </w:pPr>
      <w:r>
        <w:t xml:space="preserve">Prepared for CARR Biosystems (Barry-Wehmiller)</w:t>
      </w:r>
    </w:p>
    <w:p>
      <w:pPr>
        <w:pStyle w:val="Date"/>
      </w:pPr>
      <w:r>
        <w:t xml:space="preserve">August 07,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24" w:name="Xf1e16a965aec870d31b5e9da4ad6634141df025"/>
    <w:p>
      <w:pPr>
        <w:pStyle w:val="Heading1"/>
      </w:pPr>
      <w:r>
        <w:t xml:space="preserve">19 - Client Tooling &amp; Database Access: What SSMS Is, and the Three Grants Required</w:t>
      </w:r>
    </w:p>
    <w:p>
      <w:pPr>
        <w:pStyle w:val="Block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“how do we actually connect to the database”</w:t>
      </w:r>
      <w:r>
        <w:rPr>
          <w:b/>
          <w:bCs/>
        </w:rPr>
        <w:t xml:space="preserve"> </w:t>
      </w:r>
      <w:r>
        <w:rPr>
          <w:b/>
          <w:bCs/>
        </w:rPr>
        <w:t xml:space="preserve">doc.</w:t>
      </w:r>
      <w:r>
        <w:t xml:space="preserve"> </w:t>
      </w:r>
      <w:r>
        <w:t xml:space="preserve">Explains what SQL Server Management Studio is (and is not), which clients work on macOS, and the three</w:t>
      </w:r>
      <w:r>
        <w:t xml:space="preserve"> </w:t>
      </w:r>
      <w:r>
        <w:rPr>
          <w:i/>
          <w:iCs/>
        </w:rPr>
        <w:t xml:space="preserve">independent</w:t>
      </w:r>
      <w:r>
        <w:t xml:space="preserve"> </w:t>
      </w:r>
      <w:r>
        <w:t xml:space="preserve">permissions that must all be in place before BioCreative can reach</w:t>
      </w:r>
      <w:r>
        <w:t xml:space="preserve"> </w:t>
      </w:r>
      <w:r>
        <w:rPr>
          <w:rStyle w:val="VerbatimChar"/>
        </w:rPr>
        <w:t xml:space="preserve">siplatform</w:t>
      </w:r>
      <w:r>
        <w:t xml:space="preserve">. Written after a live connection test on 2026-07-29 revealed that only one of the three exists.</w:t>
      </w:r>
      <w:r>
        <w:t xml:space="preserve"> </w:t>
      </w:r>
      <w:r>
        <w:rPr>
          <w:b/>
          <w:bCs/>
        </w:rPr>
        <w:t xml:space="preserve">Triggers:</w:t>
      </w:r>
      <w:r>
        <w:t xml:space="preserve"> </w:t>
      </w:r>
      <w:r>
        <w:t xml:space="preserve">“ssms”</w:t>
      </w:r>
      <w:r>
        <w:t xml:space="preserve">,</w:t>
      </w:r>
      <w:r>
        <w:t xml:space="preserve"> </w:t>
      </w:r>
      <w:r>
        <w:t xml:space="preserve">“how do I connect”</w:t>
      </w:r>
      <w:r>
        <w:t xml:space="preserve">,</w:t>
      </w:r>
      <w:r>
        <w:t xml:space="preserve"> </w:t>
      </w:r>
      <w:r>
        <w:t xml:space="preserve">“sql client”</w:t>
      </w:r>
      <w:r>
        <w:t xml:space="preserve">,</w:t>
      </w:r>
      <w:r>
        <w:t xml:space="preserve"> </w:t>
      </w:r>
      <w:r>
        <w:t xml:space="preserve">“mac”</w:t>
      </w:r>
      <w:r>
        <w:t xml:space="preserve">,</w:t>
      </w:r>
      <w:r>
        <w:t xml:space="preserve"> </w:t>
      </w:r>
      <w:r>
        <w:t xml:space="preserve">“azure data studio”</w:t>
      </w:r>
      <w:r>
        <w:t xml:space="preserve">,</w:t>
      </w:r>
      <w:r>
        <w:t xml:space="preserve"> </w:t>
      </w:r>
      <w:r>
        <w:t xml:space="preserve">“db access”</w:t>
      </w:r>
      <w:r>
        <w:t xml:space="preserve">,</w:t>
      </w:r>
      <w:r>
        <w:t xml:space="preserve"> </w:t>
      </w:r>
      <w:r>
        <w:t xml:space="preserve">“deny public network access”</w:t>
      </w:r>
      <w:r>
        <w:t xml:space="preserve">,</w:t>
      </w:r>
      <w:r>
        <w:t xml:space="preserve"> </w:t>
      </w:r>
      <w:r>
        <w:t xml:space="preserve">“private endpoint”</w:t>
      </w:r>
      <w:r>
        <w:t xml:space="preserve">,</w:t>
      </w:r>
      <w:r>
        <w:t xml:space="preserve"> </w:t>
      </w:r>
      <w:r>
        <w:t xml:space="preserve">“firewall rule”</w:t>
      </w:r>
      <w:r>
        <w:t xml:space="preserve">,</w:t>
      </w:r>
      <w:r>
        <w:t xml:space="preserve"> </w:t>
      </w:r>
      <w:r>
        <w:t xml:space="preserve">“what site do I log into”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✅ UPDATE (2026-08-07): the network path (Grant C) is RESOLVED.</w:t>
      </w:r>
      <w:r>
        <w:t xml:space="preserve"> </w:t>
      </w:r>
      <w:r>
        <w:t xml:space="preserve">Barry-Wehmiller provisioned an in-VNet</w:t>
      </w:r>
      <w:r>
        <w:t xml:space="preserve"> </w:t>
      </w:r>
      <w:r>
        <w:rPr>
          <w:b/>
          <w:bCs/>
        </w:rPr>
        <w:t xml:space="preserve">Azure Virtual Desktop</w:t>
      </w:r>
      <w:r>
        <w:t xml:space="preserve"> </w:t>
      </w:r>
      <w:r>
        <w:t xml:space="preserve">(</w:t>
      </w:r>
      <w:r>
        <w:t xml:space="preserve">“Diacto”</w:t>
      </w:r>
      <w:r>
        <w:t xml:space="preserve"> </w:t>
      </w:r>
      <w:r>
        <w:t xml:space="preserve">hostpool) on 2026-08-06, so BioCreative now reaches</w:t>
      </w:r>
      <w:r>
        <w:t xml:space="preserve"> </w:t>
      </w:r>
      <w:r>
        <w:rPr>
          <w:rStyle w:val="VerbatimChar"/>
        </w:rPr>
        <w:t xml:space="preserve">siplatform</w:t>
      </w:r>
      <w:r>
        <w:t xml:space="preserve"> </w:t>
      </w:r>
      <w:r>
        <w:t xml:space="preserve">from inside BW’s network — and because that desktop is Windows,</w:t>
      </w:r>
      <w:r>
        <w:t xml:space="preserve"> </w:t>
      </w:r>
      <w:r>
        <w:rPr>
          <w:b/>
          <w:bCs/>
        </w:rPr>
        <w:t xml:space="preserve">SSMS is directly usable</w:t>
      </w:r>
      <w:r>
        <w:t xml:space="preserve">, so the macOS-client workaround below is no longer needed. The three-grants explanation is preserved below for reference; the remaining open grants are the</w:t>
      </w:r>
      <w:r>
        <w:t xml:space="preserve"> </w:t>
      </w:r>
      <w:r>
        <w:rPr>
          <w:b/>
          <w:bCs/>
        </w:rPr>
        <w:t xml:space="preserve">DB principal (Grant B)</w:t>
      </w:r>
      <w:r>
        <w:t xml:space="preserve"> </w:t>
      </w:r>
      <w:r>
        <w:t xml:space="preserve">and Azure Portal Reader. See</w:t>
      </w:r>
      <w:r>
        <w:t xml:space="preserve"> </w:t>
      </w:r>
      <w:r>
        <w:rPr>
          <w:rStyle w:val="VerbatimChar"/>
        </w:rPr>
        <w:t xml:space="preserve">15_migration_status.md</w:t>
      </w:r>
      <w:r>
        <w:t xml:space="preserve"> </w:t>
      </w:r>
      <w:r>
        <w:t xml:space="preserve">for the current status.</w:t>
      </w:r>
    </w:p>
    <w:bookmarkStart w:id="9" w:name="verdict-up-front"/>
    <w:p>
      <w:pPr>
        <w:pStyle w:val="Heading2"/>
      </w:pPr>
      <w:r>
        <w:t xml:space="preserve">Verdict up front</w:t>
      </w:r>
    </w:p>
    <w:p>
      <w:pPr>
        <w:pStyle w:val="FirstParagraph"/>
      </w:pPr>
      <w:r>
        <w:t xml:space="preserve">BW’s setup instructions (</w:t>
      </w:r>
      <w:r>
        <w:t xml:space="preserve">“install SSMS, use MFA, here’s the server and database”</w:t>
      </w:r>
      <w:r>
        <w:t xml:space="preserve">) are</w:t>
      </w:r>
      <w:r>
        <w:t xml:space="preserve"> </w:t>
      </w:r>
      <w:r>
        <w:rPr>
          <w:b/>
          <w:bCs/>
        </w:rPr>
        <w:t xml:space="preserve">correct in substance but incomplete, and not executable on macOS.</w:t>
      </w:r>
      <w:r>
        <w:t xml:space="preserve"> </w:t>
      </w:r>
      <w:r>
        <w:t xml:space="preserve">Two separate issues: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SSMS is Windows-only.</w:t>
      </w:r>
      <w:r>
        <w:t xml:space="preserve"> </w:t>
      </w:r>
      <w:r>
        <w:t xml:space="preserve">BioCreative works on macOS. This is solved trivially by using Microsoft’s supported cross-platform clients instead — it is not a real obstacle.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server refuses all connections from outside BW’s network.</w:t>
      </w:r>
      <w:r>
        <w:t xml:space="preserve"> </w:t>
      </w:r>
      <w:r>
        <w:t xml:space="preserve">This is the real blocker, and no client tool, credential, or firewall rule on BioCreative’s side can resolve it.</w:t>
      </w:r>
    </w:p>
    <w:bookmarkEnd w:id="9"/>
    <w:bookmarkStart w:id="10" w:name="what-ssms-actually-is"/>
    <w:p>
      <w:pPr>
        <w:pStyle w:val="Heading2"/>
      </w:pPr>
      <w:r>
        <w:t xml:space="preserve">1. What SSMS actually is</w:t>
      </w:r>
    </w:p>
    <w:p>
      <w:pPr>
        <w:pStyle w:val="FirstParagraph"/>
      </w:pPr>
      <w:r>
        <w:rPr>
          <w:b/>
          <w:bCs/>
        </w:rPr>
        <w:t xml:space="preserve">SQL Server Management Studio</w:t>
      </w:r>
      <w:r>
        <w:t xml:space="preserve"> </w:t>
      </w:r>
      <w:r>
        <w:t xml:space="preserve">is a free Microsoft</w:t>
      </w:r>
      <w:r>
        <w:t xml:space="preserve"> </w:t>
      </w:r>
      <w:r>
        <w:rPr>
          <w:b/>
          <w:bCs/>
        </w:rPr>
        <w:t xml:space="preserve">desktop application</w:t>
      </w:r>
      <w:r>
        <w:t xml:space="preserve"> </w:t>
      </w:r>
      <w:r>
        <w:t xml:space="preserve">— a database IDE.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The right analogy:</w:t>
      </w:r>
      <w:r>
        <w:t xml:space="preserve"> </w:t>
      </w:r>
      <w:r>
        <w:t xml:space="preserve">SSMS is to Azure SQL what</w:t>
      </w:r>
      <w:r>
        <w:t xml:space="preserve"> </w:t>
      </w:r>
      <w:r>
        <w:rPr>
          <w:b/>
          <w:bCs/>
        </w:rPr>
        <w:t xml:space="preserve">Supabase Studio, pgAdmin, or DBeaver</w:t>
      </w:r>
      <w:r>
        <w:t xml:space="preserve"> </w:t>
      </w:r>
      <w:r>
        <w:t xml:space="preserve">is to CARR’s current Postgres database. Object explorer tree, query editor, results grid, execution plans, security dialogs.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It is not an SSH terminal.</w:t>
      </w:r>
      <w:r>
        <w:t xml:space="preserve"> </w:t>
      </w:r>
      <w:r>
        <w:t xml:space="preserve">It’s a graphical client, though it does include a query pane where you type T-SQL.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It is a client, not the environment.</w:t>
      </w:r>
      <w:r>
        <w:t xml:space="preserve"> </w:t>
      </w:r>
      <w:r>
        <w:t xml:space="preserve">It runs on your laptop and connects outbound over</w:t>
      </w:r>
      <w:r>
        <w:t xml:space="preserve"> </w:t>
      </w:r>
      <w:r>
        <w:rPr>
          <w:b/>
          <w:bCs/>
        </w:rPr>
        <w:t xml:space="preserve">TCP 1433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cbsuse-sql01.database.windows.net</w:t>
      </w:r>
      <w:r>
        <w:t xml:space="preserve">. Installing it grants no access by itself.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There is no</w:t>
      </w:r>
      <w:r>
        <w:rPr>
          <w:b/>
          <w:bCs/>
        </w:rPr>
        <w:t xml:space="preserve"> </w:t>
      </w:r>
      <w:r>
        <w:rPr>
          <w:b/>
          <w:bCs/>
        </w:rPr>
        <w:t xml:space="preserve">“site to log into.”</w:t>
      </w:r>
      <w:r>
        <w:t xml:space="preserve"> </w:t>
      </w:r>
      <w:r>
        <w:t xml:space="preserve">Azure SQL has no Supabase-style hosted web console. The only browser-based surface is the</w:t>
      </w:r>
      <w:r>
        <w:t xml:space="preserve"> </w:t>
      </w:r>
      <w:r>
        <w:rPr>
          <w:b/>
          <w:bCs/>
        </w:rPr>
        <w:t xml:space="preserve">Azure Portal → SQL database → Query editor</w:t>
      </w:r>
      <w:r>
        <w:t xml:space="preserve">, and reaching that requires Azure Portal RBAC on the server (see §3, grant C). This is why the repeated question</w:t>
      </w:r>
      <w:r>
        <w:t xml:space="preserve"> </w:t>
      </w:r>
      <w:r>
        <w:t xml:space="preserve">“which site do I log into?”</w:t>
      </w:r>
      <w:r>
        <w:t xml:space="preserve"> </w:t>
      </w:r>
      <w:r>
        <w:t xml:space="preserve">had no good answer — for a database, there isn’t one.</w:t>
      </w:r>
    </w:p>
    <w:bookmarkEnd w:id="10"/>
    <w:bookmarkStart w:id="11" w:name="macos-supported-clients-all-free"/>
    <w:p>
      <w:pPr>
        <w:pStyle w:val="Heading2"/>
      </w:pPr>
      <w:r>
        <w:t xml:space="preserve">2. macOS-supported clients (all free)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Tool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VS Code + MSSQL extension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  <w:r>
              <w:t xml:space="preserve"> </w:t>
            </w:r>
            <w:r>
              <w:rPr>
                <w:b/>
                <w:bCs/>
              </w:rPr>
              <w:t xml:space="preserve">Recommended</w:t>
            </w:r>
          </w:p>
        </w:tc>
        <w:tc>
          <w:tcPr/>
          <w:p>
            <w:pPr>
              <w:pStyle w:val="Compact"/>
            </w:pPr>
            <w:r>
              <w:t xml:space="preserve">Microsoft’s official path. Windows/macOS (Intel + Apple Silicon)/Linux. Supports</w:t>
            </w:r>
            <w:r>
              <w:t xml:space="preserve"> </w:t>
            </w:r>
            <w:r>
              <w:rPr>
                <w:b/>
                <w:bCs/>
              </w:rPr>
              <w:t xml:space="preserve">Microsoft Entra ID with MFA</w:t>
            </w:r>
            <w:r>
              <w:t xml:space="preserve">. Object explorer, query editor, schema designer, DACPAC, query profiler.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sqlcmd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(go-sqlcmd)</w:t>
            </w:r>
          </w:p>
        </w:tc>
        <w:tc>
          <w:tcPr/>
          <w:p>
            <w:pPr>
              <w:pStyle w:val="Compact"/>
            </w:pPr>
            <w:r>
              <w:t xml:space="preserve">✅ In use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brew install sqlcmd</w:t>
            </w:r>
            <w:r>
              <w:t xml:space="preserve">. Pure-Go, no ODBC dependency. Supports</w:t>
            </w:r>
            <w:r>
              <w:t xml:space="preserve"> </w:t>
            </w:r>
            <w:r>
              <w:rPr>
                <w:rStyle w:val="VerbatimChar"/>
              </w:rPr>
              <w:t xml:space="preserve">ActiveDirectoryInteractive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ActiveDirectoryDeviceCode</w:t>
            </w:r>
            <w:r>
              <w:t xml:space="preserve"> </w:t>
            </w:r>
            <w:r>
              <w:t xml:space="preserve">auth. Best for scripted work and fast connectivity probes.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bcp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(mssql-tools18)</w:t>
            </w:r>
          </w:p>
        </w:tc>
        <w:tc>
          <w:tcPr/>
          <w:p>
            <w:pPr>
              <w:pStyle w:val="Compact"/>
            </w:pPr>
            <w:r>
              <w:t xml:space="preserve">✅ Needed later</w:t>
            </w:r>
          </w:p>
        </w:tc>
        <w:tc>
          <w:tcPr/>
          <w:p>
            <w:pPr>
              <w:pStyle w:val="Compact"/>
            </w:pPr>
            <w:r>
              <w:t xml:space="preserve">The bulk loader for the ~104,000-contact data transfer in</w:t>
            </w:r>
            <w:r>
              <w:t xml:space="preserve"> </w:t>
            </w:r>
            <w:r>
              <w:rPr>
                <w:rStyle w:val="VerbatimChar"/>
              </w:rPr>
              <w:t xml:space="preserve">07_azure_sql_conversion.md</w:t>
            </w:r>
            <w:r>
              <w:t xml:space="preserve"> </w:t>
            </w:r>
            <w:r>
              <w:t xml:space="preserve">§7.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DBeaver / DataGrip</w:t>
            </w:r>
          </w:p>
        </w:tc>
        <w:tc>
          <w:tcPr/>
          <w:p>
            <w:pPr>
              <w:pStyle w:val="Compact"/>
            </w:pPr>
            <w:r>
              <w:t xml:space="preserve">⚪ Optional</w:t>
            </w:r>
          </w:p>
        </w:tc>
        <w:tc>
          <w:tcPr/>
          <w:p>
            <w:pPr>
              <w:pStyle w:val="Compact"/>
            </w:pPr>
            <w:r>
              <w:t xml:space="preserve">DBeaver free, DataGrip paid. Not required.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SSMS</w:t>
            </w:r>
          </w:p>
        </w:tc>
        <w:tc>
          <w:tcPr/>
          <w:p>
            <w:pPr>
              <w:pStyle w:val="Compact"/>
            </w:pPr>
            <w:r>
              <w:t xml:space="preserve">❌ Windows-only</w:t>
            </w:r>
          </w:p>
        </w:tc>
        <w:tc>
          <w:tcPr/>
          <w:p>
            <w:pPr>
              <w:pStyle w:val="Compact"/>
            </w:pPr>
            <w:r>
              <w:t xml:space="preserve">Per Microsoft’s published system requirements, macOS is not a supported OS. Usable only from a Windows machine or a Windows VM.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Azure Data Studio</w:t>
            </w:r>
          </w:p>
        </w:tc>
        <w:tc>
          <w:tcPr/>
          <w:p>
            <w:pPr>
              <w:pStyle w:val="Compact"/>
            </w:pPr>
            <w:r>
              <w:t xml:space="preserve">❌ Retired</w:t>
            </w:r>
          </w:p>
        </w:tc>
        <w:tc>
          <w:tcPr/>
          <w:p>
            <w:pPr>
              <w:pStyle w:val="Compact"/>
            </w:pPr>
            <w:r>
              <w:t xml:space="preserve">End-of-life</w:t>
            </w:r>
            <w:r>
              <w:t xml:space="preserve"> </w:t>
            </w:r>
            <w:r>
              <w:rPr>
                <w:b/>
                <w:bCs/>
              </w:rPr>
              <w:t xml:space="preserve">2026-02-28</w:t>
            </w:r>
            <w:r>
              <w:t xml:space="preserve">; no further updates or security fixes. Microsoft directs users to VS Code + the MSSQL extension. Do not adopt.</w:t>
            </w:r>
          </w:p>
        </w:tc>
      </w:tr>
    </w:tbl>
    <w:p>
      <w:pPr>
        <w:pStyle w:val="BodyText"/>
      </w:pPr>
      <w:r>
        <w:rPr>
          <w:b/>
          <w:bCs/>
        </w:rPr>
        <w:t xml:space="preserve">Note:</w:t>
      </w:r>
      <w:r>
        <w:t xml:space="preserve"> </w:t>
      </w:r>
      <w:r>
        <w:t xml:space="preserve">BioCreative has no Windows machine and no Parallels VM. If BW’s answer is</w:t>
      </w:r>
      <w:r>
        <w:t xml:space="preserve"> </w:t>
      </w:r>
      <w:r>
        <w:t xml:space="preserve">“use SSMS from inside our network,”</w:t>
      </w:r>
      <w:r>
        <w:t xml:space="preserve"> </w:t>
      </w:r>
      <w:r>
        <w:t xml:space="preserve">the Windows host must be BW-provided.</w:t>
      </w:r>
    </w:p>
    <w:bookmarkEnd w:id="11"/>
    <w:bookmarkStart w:id="13" w:name="Xeea3860eef0e35b2e248fda98a59f5685fb4639"/>
    <w:p>
      <w:pPr>
        <w:pStyle w:val="Heading2"/>
      </w:pPr>
      <w:r>
        <w:t xml:space="preserve">3. The three grants — all required, only one exists</w:t>
      </w:r>
    </w:p>
    <w:p>
      <w:pPr>
        <w:pStyle w:val="FirstParagraph"/>
      </w:pPr>
      <w:r>
        <w:t xml:space="preserve">Reaching a database in Azure requires three</w:t>
      </w:r>
      <w:r>
        <w:t xml:space="preserve"> </w:t>
      </w:r>
      <w:r>
        <w:rPr>
          <w:i/>
          <w:iCs/>
        </w:rPr>
        <w:t xml:space="preserve">independent</w:t>
      </w:r>
      <w:r>
        <w:t xml:space="preserve"> </w:t>
      </w:r>
      <w:r>
        <w:t xml:space="preserve">permissions. They are frequently confused with one another, which is the root of the confusion on this thread.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Grant</w:t>
            </w:r>
          </w:p>
        </w:tc>
        <w:tc>
          <w:tcPr/>
          <w:p>
            <w:pPr>
              <w:pStyle w:val="Compact"/>
            </w:pPr>
            <w:r>
              <w:t xml:space="preserve">What it proves</w:t>
            </w:r>
          </w:p>
        </w:tc>
        <w:tc>
          <w:tcPr/>
          <w:p>
            <w:pPr>
              <w:pStyle w:val="Compact"/>
            </w:pPr>
            <w:r>
              <w:t xml:space="preserve">Who grants it</w:t>
            </w:r>
          </w:p>
        </w:tc>
        <w:tc>
          <w:tcPr/>
          <w:p>
            <w:pPr>
              <w:pStyle w:val="Compact"/>
            </w:pPr>
            <w:r>
              <w:t xml:space="preserve">Status (2026-07-29)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Entra identity + MFA</w:t>
            </w:r>
            <w:r>
              <w:t xml:space="preserve"> </w:t>
            </w:r>
            <w:r>
              <w:t xml:space="preserve">— the account can authenticate to BW’s directory</w:t>
            </w:r>
          </w:p>
        </w:tc>
        <w:tc>
          <w:tcPr/>
          <w:p>
            <w:pPr>
              <w:pStyle w:val="Compact"/>
            </w:pPr>
            <w:r>
              <w:t xml:space="preserve">You can sign into Outlook, and Entra will issue an access token for the SQL service</w:t>
            </w:r>
          </w:p>
        </w:tc>
        <w:tc>
          <w:tcPr/>
          <w:p>
            <w:pPr>
              <w:pStyle w:val="Compact"/>
            </w:pPr>
            <w:r>
              <w:t xml:space="preserve">BW Service Desk (ticket 445974); temp password relayed by Chad Evans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  <w:r>
              <w:t xml:space="preserve"> </w:t>
            </w:r>
            <w:r>
              <w:rPr>
                <w:b/>
                <w:bCs/>
              </w:rPr>
              <w:t xml:space="preserve">Confirmed working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Database principal + role</w:t>
            </w:r>
            <w:r>
              <w:t xml:space="preserve"> </w:t>
            </w:r>
            <w:r>
              <w:t xml:space="preserve">inside</w:t>
            </w:r>
            <w:r>
              <w:t xml:space="preserve"> </w:t>
            </w:r>
            <w:r>
              <w:rPr>
                <w:rStyle w:val="VerbatimChar"/>
              </w:rPr>
              <w:t xml:space="preserve">siplatform</w:t>
            </w:r>
          </w:p>
        </w:tc>
        <w:tc>
          <w:tcPr/>
          <w:p>
            <w:pPr>
              <w:pStyle w:val="Compact"/>
            </w:pPr>
            <w:r>
              <w:t xml:space="preserve">The authenticated identity is a known user</w:t>
            </w:r>
            <w:r>
              <w:t xml:space="preserve"> </w:t>
            </w:r>
            <w:r>
              <w:rPr>
                <w:i/>
                <w:iCs/>
              </w:rPr>
              <w:t xml:space="preserve">of that database</w:t>
            </w:r>
            <w:r>
              <w:t xml:space="preserve"> </w:t>
            </w:r>
            <w:r>
              <w:t xml:space="preserve">with permission to do things</w:t>
            </w:r>
          </w:p>
        </w:tc>
        <w:tc>
          <w:tcPr/>
          <w:p>
            <w:pPr>
              <w:pStyle w:val="Compact"/>
            </w:pPr>
            <w:r>
              <w:t xml:space="preserve">An Entra admin on the SQL server (</w:t>
            </w:r>
            <w:r>
              <w:rPr>
                <w:b/>
                <w:bCs/>
              </w:rPr>
              <w:t xml:space="preserve">specific owner TBC</w:t>
            </w:r>
            <w:r>
              <w:t xml:space="preserve"> </w:t>
            </w:r>
            <w:r>
              <w:t xml:space="preserve">— see routing note below)</w:t>
            </w:r>
          </w:p>
        </w:tc>
        <w:tc>
          <w:tcPr/>
          <w:p>
            <w:pPr>
              <w:pStyle w:val="Compact"/>
            </w:pPr>
            <w:r>
              <w:t xml:space="preserve">❓</w:t>
            </w:r>
            <w:r>
              <w:t xml:space="preserve"> </w:t>
            </w:r>
            <w:r>
              <w:rPr>
                <w:b/>
                <w:bCs/>
              </w:rPr>
              <w:t xml:space="preserve">Not granted / untestable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Network path</w:t>
            </w:r>
            <w:r>
              <w:t xml:space="preserve"> </w:t>
            </w:r>
            <w:r>
              <w:t xml:space="preserve">to the server</w:t>
            </w:r>
          </w:p>
        </w:tc>
        <w:tc>
          <w:tcPr/>
          <w:p>
            <w:pPr>
              <w:pStyle w:val="Compact"/>
            </w:pPr>
            <w:r>
              <w:t xml:space="preserve">Your traffic is even allowed to arrive</w:t>
            </w:r>
          </w:p>
        </w:tc>
        <w:tc>
          <w:tcPr/>
          <w:p>
            <w:pPr>
              <w:pStyle w:val="Compact"/>
            </w:pPr>
            <w:r>
              <w:t xml:space="preserve">BW cloud ops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  <w:r>
              <w:t xml:space="preserve"> </w:t>
            </w:r>
            <w:r>
              <w:rPr>
                <w:b/>
                <w:bCs/>
              </w:rPr>
              <w:t xml:space="preserve">Closed — this is the blocker</w:t>
            </w:r>
          </w:p>
        </w:tc>
      </w:tr>
    </w:tbl>
    <w:p>
      <w:pPr>
        <w:pStyle w:val="BodyText"/>
      </w:pPr>
      <w:r>
        <w:rPr>
          <w:b/>
          <w:bCs/>
        </w:rPr>
        <w:t xml:space="preserve">Critically: signing into Outlook only proves grant A.</w:t>
      </w:r>
      <w:r>
        <w:t xml:space="preserve"> </w:t>
      </w:r>
      <w:r>
        <w:t xml:space="preserve">It says nothing about B or C. That is why</w:t>
      </w:r>
      <w:r>
        <w:t xml:space="preserve"> </w:t>
      </w:r>
      <w:r>
        <w:t xml:space="preserve">“I can get into the Outlook account”</w:t>
      </w:r>
      <w:r>
        <w:t xml:space="preserve"> </w:t>
      </w:r>
      <w:r>
        <w:t xml:space="preserve">did not translate into database access.</w:t>
      </w:r>
    </w:p>
    <w:p>
      <w:pPr>
        <w:pStyle w:val="BodyText"/>
      </w:pPr>
      <w:r>
        <w:rPr>
          <w:b/>
          <w:bCs/>
        </w:rPr>
        <w:t xml:space="preserve">Who to route to:</w:t>
      </w:r>
      <w:r>
        <w:t xml:space="preserve"> </w:t>
      </w:r>
      <w:r>
        <w:t xml:space="preserve">BW contacts on record are</w:t>
      </w:r>
      <w:r>
        <w:t xml:space="preserve"> </w:t>
      </w:r>
      <w:r>
        <w:rPr>
          <w:b/>
          <w:bCs/>
        </w:rPr>
        <w:t xml:space="preserve">Chad Evans</w:t>
      </w:r>
      <w:r>
        <w:t xml:space="preserve"> </w:t>
      </w:r>
      <w:r>
        <w:t xml:space="preserve">(Senior Manager, Data Architecture &amp; Data Management — relayed the credentials),</w:t>
      </w:r>
      <w:r>
        <w:t xml:space="preserve"> </w:t>
      </w:r>
      <w:r>
        <w:rPr>
          <w:b/>
          <w:bCs/>
        </w:rPr>
        <w:t xml:space="preserve">Landon Godar</w:t>
      </w:r>
      <w:r>
        <w:t xml:space="preserve"> </w:t>
      </w:r>
      <w:r>
        <w:t xml:space="preserve">(BW IT — provisioned the database and BioCreative’s access per the 2026-07-21 notes), and</w:t>
      </w:r>
      <w:r>
        <w:t xml:space="preserve"> </w:t>
      </w:r>
      <w:r>
        <w:rPr>
          <w:b/>
          <w:bCs/>
        </w:rPr>
        <w:t xml:space="preserve">Venkata</w:t>
      </w:r>
      <w:r>
        <w:t xml:space="preserve"> </w:t>
      </w:r>
      <w:r>
        <w:t xml:space="preserve">(BW DBA lead — owner of the engine-standard decision).</w:t>
      </w:r>
      <w:r>
        <w:t xml:space="preserve"> </w:t>
      </w:r>
      <w:r>
        <w:rPr>
          <w:b/>
          <w:bCs/>
        </w:rPr>
        <w:t xml:space="preserve">None is confirmed as the owner of the server’s network configuration</w:t>
      </w:r>
      <w:r>
        <w:t xml:space="preserve">, so the ask should be routed rather than addressed to a guessed individual.</w:t>
      </w:r>
    </w:p>
    <w:bookmarkStart w:id="12" w:name="X5fc33a21e3d9bb5b5f439339c9f80d4aa107ec2"/>
    <w:p>
      <w:pPr>
        <w:pStyle w:val="Heading3"/>
      </w:pPr>
      <w:r>
        <w:t xml:space="preserve">The T-SQL for grant B (for whoever holds the Entra admin role)</w:t>
      </w:r>
    </w:p>
    <w:p>
      <w:pPr>
        <w:pStyle w:val="SourceCode"/>
      </w:pPr>
      <w:r>
        <w:rPr>
          <w:rStyle w:val="CommentTok"/>
        </w:rPr>
        <w:t xml:space="preserve">-- Run against the siplatform database, connected as the Entra admin for the server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USER</w:t>
      </w:r>
      <w:r>
        <w:rPr>
          <w:rStyle w:val="NormalTok"/>
        </w:rPr>
        <w:t xml:space="preserve"> [brian.elbert@carrbiosystems.com]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EXTERNAL PROVIDER;</w:t>
      </w:r>
      <w:r>
        <w:br/>
      </w:r>
      <w:r>
        <w:br/>
      </w:r>
      <w:r>
        <w:rPr>
          <w:rStyle w:val="CommentTok"/>
        </w:rPr>
        <w:t xml:space="preserve">-- DDL rights are required: the migration creates ~86 tables, ~101 views, ~131 procedures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db_owner </w:t>
      </w:r>
      <w:r>
        <w:rPr>
          <w:rStyle w:val="KeywordTok"/>
        </w:rPr>
        <w:t xml:space="preserve">ADD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MEMBER</w:t>
      </w:r>
      <w:r>
        <w:rPr>
          <w:rStyle w:val="NormalTok"/>
        </w:rPr>
        <w:t xml:space="preserve"> [brian.elbert@carrbiosystems.com];</w:t>
      </w:r>
      <w:r>
        <w:br/>
      </w:r>
      <w:r>
        <w:br/>
      </w:r>
      <w:r>
        <w:rPr>
          <w:rStyle w:val="CommentTok"/>
        </w:rPr>
        <w:t xml:space="preserve">-- Or, if db_owner is too broad for BW policy, the minimum viable set:</w:t>
      </w:r>
      <w:r>
        <w:br/>
      </w:r>
      <w:r>
        <w:rPr>
          <w:rStyle w:val="CommentTok"/>
        </w:rPr>
        <w:t xml:space="preserve">-- ALTER ROLE db_ddladmin   ADD MEMBER [brian.elbert@carrbiosystems.com];</w:t>
      </w:r>
      <w:r>
        <w:br/>
      </w:r>
      <w:r>
        <w:rPr>
          <w:rStyle w:val="CommentTok"/>
        </w:rPr>
        <w:t xml:space="preserve">-- ALTER ROLE db_datareader ADD MEMBER [brian.elbert@carrbiosystems.com];</w:t>
      </w:r>
      <w:r>
        <w:br/>
      </w:r>
      <w:r>
        <w:rPr>
          <w:rStyle w:val="CommentTok"/>
        </w:rPr>
        <w:t xml:space="preserve">-- ALTER ROLE db_datawriter ADD MEMBER [brian.elbert@carrbiosystems.com];</w:t>
      </w:r>
    </w:p>
    <w:p>
      <w:pPr>
        <w:pStyle w:val="FirstParagraph"/>
      </w:pPr>
      <w:r>
        <w:t xml:space="preserve">Read-only access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sufficient — this is a schema-creating migration, not a reporting connection.</w:t>
      </w:r>
    </w:p>
    <w:bookmarkEnd w:id="12"/>
    <w:bookmarkEnd w:id="13"/>
    <w:bookmarkStart w:id="18" w:name="grant-c-the-actual-blocker-in-detail"/>
    <w:p>
      <w:pPr>
        <w:pStyle w:val="Heading2"/>
      </w:pPr>
      <w:r>
        <w:t xml:space="preserve">4. Grant C — the actual blocker, in detail</w:t>
      </w:r>
    </w:p>
    <w:bookmarkStart w:id="14" w:name="what-we-observed-live-test-2026-07-29"/>
    <w:p>
      <w:pPr>
        <w:pStyle w:val="Heading3"/>
      </w:pPr>
      <w:r>
        <w:t xml:space="preserve">What we observed (live test, 2026-07-29)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Probe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DNS for</w:t>
            </w:r>
            <w:r>
              <w:t xml:space="preserve"> </w:t>
            </w:r>
            <w:r>
              <w:rPr>
                <w:rStyle w:val="VerbatimChar"/>
              </w:rPr>
              <w:t xml:space="preserve">cbsuse-sql01.database.windows.net</w:t>
            </w:r>
          </w:p>
        </w:tc>
        <w:tc>
          <w:tcPr/>
          <w:p>
            <w:pPr>
              <w:pStyle w:val="Compact"/>
            </w:pPr>
            <w:r>
              <w:t xml:space="preserve">CNAME chain through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cbsuse-sql01.privatelink.database.windows.net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dataslice8.eastus</w:t>
            </w:r>
            <w:r>
              <w:t xml:space="preserve"> </w:t>
            </w:r>
            <w:r>
              <w:t xml:space="preserve">→ gateway</w:t>
            </w:r>
            <w:r>
              <w:t xml:space="preserve"> </w:t>
            </w:r>
            <w:r>
              <w:rPr>
                <w:rStyle w:val="VerbatimChar"/>
              </w:rPr>
              <w:t xml:space="preserve">20.62.132.163</w:t>
            </w:r>
            <w:r>
              <w:t xml:space="preserve">. The</w:t>
            </w:r>
            <w:r>
              <w:t xml:space="preserve"> </w:t>
            </w:r>
            <w:r>
              <w:rPr>
                <w:rStyle w:val="VerbatimChar"/>
              </w:rPr>
              <w:t xml:space="preserve">privatelink</w:t>
            </w:r>
            <w:r>
              <w:t xml:space="preserve"> </w:t>
            </w:r>
            <w:r>
              <w:t xml:space="preserve">segment confirms a</w:t>
            </w:r>
            <w:r>
              <w:t xml:space="preserve"> </w:t>
            </w:r>
            <w:r>
              <w:rPr>
                <w:b/>
                <w:bCs/>
              </w:rPr>
              <w:t xml:space="preserve">Private Endpoint</w:t>
            </w:r>
            <w:r>
              <w:t xml:space="preserve"> </w:t>
            </w:r>
            <w:r>
              <w:t xml:space="preserve">is configured.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 connect to port 1433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Succeeds</w:t>
            </w:r>
            <w:r>
              <w:t xml:space="preserve"> </w:t>
            </w:r>
            <w:r>
              <w:t xml:space="preserve">— but this only reaches Azure’s</w:t>
            </w:r>
            <w:r>
              <w:t xml:space="preserve"> </w:t>
            </w:r>
            <w:r>
              <w:rPr>
                <w:i/>
                <w:iCs/>
              </w:rPr>
              <w:t xml:space="preserve">shared regional gateway</w:t>
            </w:r>
            <w:r>
              <w:t xml:space="preserve">, which accepts TCP for every server in the region.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Entra device-code authentication</w:t>
            </w:r>
          </w:p>
        </w:tc>
        <w:tc>
          <w:tcPr/>
          <w:p>
            <w:pPr>
              <w:pStyle w:val="Compact"/>
            </w:pPr>
            <w:r>
              <w:t xml:space="preserve">Token issued successfully (grant A confirmed).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TDS session establishment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connection reset by peer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Same connection with deliberately</w:t>
            </w:r>
            <w:r>
              <w:t xml:space="preserve"> </w:t>
            </w:r>
            <w:r>
              <w:rPr>
                <w:b/>
                <w:bCs/>
              </w:rPr>
              <w:t xml:space="preserve">invalid</w:t>
            </w:r>
            <w:r>
              <w:t xml:space="preserve"> </w:t>
            </w:r>
            <w:r>
              <w:t xml:space="preserve">credentials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Connection was denied because Deny Public Network Access is set to Yes.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Same probe against the</w:t>
            </w:r>
            <w:r>
              <w:t xml:space="preserve"> </w:t>
            </w:r>
            <w:r>
              <w:rPr>
                <w:rStyle w:val="VerbatimChar"/>
              </w:rPr>
              <w:t xml:space="preserve">master</w:t>
            </w:r>
            <w:r>
              <w:t xml:space="preserve"> </w:t>
            </w:r>
            <w:r>
              <w:t xml:space="preserve">database</w:t>
            </w:r>
          </w:p>
        </w:tc>
        <w:tc>
          <w:tcPr/>
          <w:p>
            <w:pPr>
              <w:pStyle w:val="Compact"/>
            </w:pPr>
            <w:r>
              <w:t xml:space="preserve">Identical message.</w:t>
            </w:r>
          </w:p>
        </w:tc>
      </w:tr>
    </w:tbl>
    <w:bookmarkEnd w:id="14"/>
    <w:bookmarkStart w:id="15" w:name="X1352fc496840905ead8f348829ab5d513256bd6"/>
    <w:p>
      <w:pPr>
        <w:pStyle w:val="Heading3"/>
      </w:pPr>
      <w:r>
        <w:t xml:space="preserve">Why the invalid-credentials probe matters</w:t>
      </w:r>
    </w:p>
    <w:p>
      <w:pPr>
        <w:pStyle w:val="FirstParagraph"/>
      </w:pPr>
      <w:r>
        <w:t xml:space="preserve">Because the</w:t>
      </w:r>
      <w:r>
        <w:t xml:space="preserve"> </w:t>
      </w:r>
      <w:r>
        <w:rPr>
          <w:i/>
          <w:iCs/>
        </w:rPr>
        <w:t xml:space="preserve">identical</w:t>
      </w:r>
      <w:r>
        <w:t xml:space="preserve"> </w:t>
      </w:r>
      <w:r>
        <w:t xml:space="preserve">error appears with fake credentials and against a different database, the rejection provably happens</w:t>
      </w:r>
      <w:r>
        <w:t xml:space="preserve"> </w:t>
      </w:r>
      <w:r>
        <w:rPr>
          <w:b/>
          <w:bCs/>
        </w:rPr>
        <w:t xml:space="preserve">before authentication is evaluated</w:t>
      </w:r>
      <w:r>
        <w:t xml:space="preserve">. It is therefore a property of the</w:t>
      </w:r>
      <w:r>
        <w:t xml:space="preserve"> </w:t>
      </w:r>
      <w:r>
        <w:rPr>
          <w:b/>
          <w:bCs/>
        </w:rPr>
        <w:t xml:space="preserve">server</w:t>
      </w:r>
      <w:r>
        <w:t xml:space="preserve">, not of the login, the password, the database, or the client tool.</w:t>
      </w:r>
    </w:p>
    <w:bookmarkEnd w:id="15"/>
    <w:bookmarkStart w:id="16" w:name="X5640847fae07168eeb5fec73b47156ec3e8cf3b"/>
    <w:p>
      <w:pPr>
        <w:pStyle w:val="Heading3"/>
      </w:pPr>
      <w:r>
        <w:t xml:space="preserve">What</w:t>
      </w:r>
      <w:r>
        <w:t xml:space="preserve"> </w:t>
      </w:r>
      <w:r>
        <w:t xml:space="preserve">“Deny Public Network Access = Yes”</w:t>
      </w:r>
      <w:r>
        <w:t xml:space="preserve"> </w:t>
      </w:r>
      <w:r>
        <w:t xml:space="preserve">means</w:t>
      </w:r>
    </w:p>
    <w:p>
      <w:pPr>
        <w:pStyle w:val="FirstParagraph"/>
      </w:pPr>
      <w:r>
        <w:t xml:space="preserve">The server accepts connections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from inside BW’s Azure virtual network, via its Private Endpoint. Consequences: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An IP firewall rule will not help.</w:t>
      </w:r>
      <w:r>
        <w:t xml:space="preserve"> </w:t>
      </w:r>
      <w:r>
        <w:t xml:space="preserve">When public access is denied wholesale, the firewall allowlist is never consulted. Adding BioCreative’s IP changes nothing while this setting remains</w:t>
      </w:r>
      <w:r>
        <w:t xml:space="preserve"> </w:t>
      </w:r>
      <w:r>
        <w:rPr>
          <w:rStyle w:val="VerbatimChar"/>
        </w:rPr>
        <w:t xml:space="preserve">Yes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No client tool helps.</w:t>
      </w:r>
      <w:r>
        <w:t xml:space="preserve"> </w:t>
      </w:r>
      <w:r>
        <w:t xml:space="preserve">SSMS, VS Code,</w:t>
      </w:r>
      <w:r>
        <w:t xml:space="preserve"> </w:t>
      </w:r>
      <w:r>
        <w:rPr>
          <w:rStyle w:val="VerbatimChar"/>
        </w:rPr>
        <w:t xml:space="preserve">sqlcmd</w:t>
      </w:r>
      <w:r>
        <w:t xml:space="preserve">, DBeaver — identical rejection.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Colby’s setup works because Colby is inside the network.</w:t>
      </w:r>
      <w:r>
        <w:t xml:space="preserve"> </w:t>
      </w:r>
      <w:r>
        <w:t xml:space="preserve">His traffic arrives privately and resolves the</w:t>
      </w:r>
      <w:r>
        <w:t xml:space="preserve"> </w:t>
      </w:r>
      <w:r>
        <w:rPr>
          <w:rStyle w:val="VerbatimChar"/>
        </w:rPr>
        <w:t xml:space="preserve">privatelink</w:t>
      </w:r>
      <w:r>
        <w:t xml:space="preserve"> </w:t>
      </w:r>
      <w:r>
        <w:t xml:space="preserve">name to an internal address. Brian’s arrives from the public internet and is refused at the door. This is why the instructions were accurate for the author and non-functional for the recipient.</w:t>
      </w:r>
    </w:p>
    <w:bookmarkEnd w:id="16"/>
    <w:bookmarkStart w:id="17" w:name="the-four-ways-to-unblock-it-bws-choice"/>
    <w:p>
      <w:pPr>
        <w:pStyle w:val="Heading3"/>
      </w:pPr>
      <w:r>
        <w:t xml:space="preserve">The four ways to unblock it (BW’s choice)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Option</w:t>
            </w:r>
          </w:p>
        </w:tc>
        <w:tc>
          <w:tcPr/>
          <w:p>
            <w:pPr>
              <w:pStyle w:val="Compact"/>
            </w:pPr>
            <w:r>
              <w:t xml:space="preserve">Trade-off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VPN access</w:t>
            </w:r>
            <w:r>
              <w:t xml:space="preserve"> </w:t>
            </w:r>
            <w:r>
              <w:t xml:space="preserve">into the BW network for BioCreative</w:t>
            </w:r>
          </w:p>
        </w:tc>
        <w:tc>
          <w:tcPr/>
          <w:p>
            <w:pPr>
              <w:pStyle w:val="Compact"/>
            </w:pPr>
            <w:r>
              <w:t xml:space="preserve">Fastest, if consultant VPN is an existing pattern at 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BW-hosted Windows VM / Azure Virtual Desktop / Azure Bastion</w:t>
            </w:r>
            <w:r>
              <w:t xml:space="preserve"> </w:t>
            </w:r>
            <w:r>
              <w:t xml:space="preserve">jump host inside the VNet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BC-preferred.</w:t>
            </w:r>
            <w:r>
              <w:t xml:space="preserve"> </w:t>
            </w:r>
            <w:r>
              <w:t xml:space="preserve">Most policy-friendly, keeps all data inside BW’s perimeter, and provides the in-network compute Phase 2 needs anyway. Must be BW-hosted — BC has no Windows machine. Also makes SSMS usable, since the VM is Windows.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Set</w:t>
            </w:r>
            <w:r>
              <w:t xml:space="preserve"> </w:t>
            </w:r>
            <w:r>
              <w:rPr>
                <w:b/>
                <w:bCs/>
              </w:rPr>
              <w:t xml:space="preserve">Deny Public Network Access = No</w:t>
            </w:r>
            <w:r>
              <w:t xml:space="preserve"> </w:t>
            </w:r>
            <w:r>
              <w:t xml:space="preserve">+ firewall rule for</w:t>
            </w:r>
            <w:r>
              <w:t xml:space="preserve"> </w:t>
            </w:r>
            <w:r>
              <w:rPr>
                <w:rStyle w:val="VerbatimChar"/>
              </w:rPr>
              <w:t xml:space="preserve">73.160.170.168</w:t>
            </w:r>
          </w:p>
        </w:tc>
        <w:tc>
          <w:tcPr/>
          <w:p>
            <w:pPr>
              <w:pStyle w:val="Compact"/>
            </w:pPr>
            <w:r>
              <w:t xml:space="preserve">Simplest technically; least secure; likely conflicts with BW standards. Not recommended by BC.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Run the migration from</w:t>
            </w:r>
            <w:r>
              <w:t xml:space="preserve"> </w:t>
            </w:r>
            <w:r>
              <w:rPr>
                <w:b/>
                <w:bCs/>
              </w:rPr>
              <w:t xml:space="preserve">in-VNet Azure compute</w:t>
            </w:r>
            <w:r>
              <w:t xml:space="preserve"> </w:t>
            </w:r>
            <w:r>
              <w:t xml:space="preserve">(container instance / Azure Data Factory) that BC configures and triggers</w:t>
            </w:r>
          </w:p>
        </w:tc>
        <w:tc>
          <w:tcPr/>
          <w:p>
            <w:pPr>
              <w:pStyle w:val="Compact"/>
            </w:pPr>
            <w:r>
              <w:t xml:space="preserve">Cleanest architecturally, closest to end-state; most setup effort</w:t>
            </w:r>
          </w:p>
        </w:tc>
      </w:tr>
    </w:tbl>
    <w:bookmarkEnd w:id="17"/>
    <w:bookmarkEnd w:id="18"/>
    <w:bookmarkStart w:id="19" w:name="X94c5b280d39203d11e8b0eb09f451e6e02e137f"/>
    <w:p>
      <w:pPr>
        <w:pStyle w:val="Heading2"/>
      </w:pPr>
      <w:r>
        <w:t xml:space="preserve">5. Also needed: Azure Portal Reader (grant C-adjacent)</w:t>
      </w:r>
    </w:p>
    <w:p>
      <w:pPr>
        <w:pStyle w:val="FirstParagraph"/>
      </w:pPr>
      <w:r>
        <w:t xml:space="preserve">Separate from database access, BioCreative has</w:t>
      </w:r>
      <w:r>
        <w:t xml:space="preserve"> </w:t>
      </w:r>
      <w:r>
        <w:rPr>
          <w:b/>
          <w:bCs/>
        </w:rPr>
        <w:t xml:space="preserve">never been granted Azure Portal RBAC</w:t>
      </w:r>
      <w:r>
        <w:t xml:space="preserve">. Without at least</w:t>
      </w:r>
      <w:r>
        <w:t xml:space="preserve"> </w:t>
      </w:r>
      <w:r>
        <w:rPr>
          <w:b/>
          <w:bCs/>
        </w:rPr>
        <w:t xml:space="preserve">Reader</w:t>
      </w:r>
      <w:r>
        <w:t xml:space="preserve"> </w:t>
      </w:r>
      <w:r>
        <w:t xml:space="preserve">on the resource group and SQL server, every configuration question — which tier, what are the firewall rules, is public access on, where is the Key Vault, does the Container Registry exist — requires an email round-trip to BW. Granting Reader is low-risk (read-only, no data-plane access) and removes a recurring source of delay across Phases 0–4.</w:t>
      </w:r>
    </w:p>
    <w:bookmarkEnd w:id="19"/>
    <w:bookmarkStart w:id="20" w:name="Xeb36666c4dfe3849f951c0ed9fbc8dee5223726"/>
    <w:p>
      <w:pPr>
        <w:pStyle w:val="Heading2"/>
      </w:pPr>
      <w:r>
        <w:t xml:space="preserve">6. What this does and does not change about the migration</w:t>
      </w:r>
    </w:p>
    <w:p>
      <w:pPr>
        <w:pStyle w:val="FirstParagraph"/>
      </w:pPr>
      <w:r>
        <w:rPr>
          <w:b/>
          <w:bCs/>
        </w:rPr>
        <w:t xml:space="preserve">Does not change:</w:t>
      </w:r>
      <w:r>
        <w:t xml:space="preserve"> </w:t>
      </w:r>
      <w:r>
        <w:t xml:space="preserve">the conversion scope in</w:t>
      </w:r>
      <w:r>
        <w:t xml:space="preserve"> </w:t>
      </w:r>
      <w:r>
        <w:rPr>
          <w:rStyle w:val="VerbatimChar"/>
        </w:rPr>
        <w:t xml:space="preserve">07_azure_sql_conversion.md</w:t>
      </w:r>
      <w:r>
        <w:t xml:space="preserve"> </w:t>
      </w:r>
      <w:r>
        <w:t xml:space="preserve">is unaffected — still 86 tables, 101 views, 131 functions, 252 RLS policies, 46 triggers, 21 scheduled jobs. The client tool was never going to do that work; the heavy lifting is LLM-assisted T-SQL conversion plus</w:t>
      </w:r>
      <w:r>
        <w:t xml:space="preserve"> </w:t>
      </w:r>
      <w:r>
        <w:rPr>
          <w:rStyle w:val="VerbatimChar"/>
        </w:rPr>
        <w:t xml:space="preserve">bcp</w:t>
      </w:r>
      <w:r>
        <w:t xml:space="preserve">/ADF for the data.</w:t>
      </w:r>
    </w:p>
    <w:p>
      <w:pPr>
        <w:pStyle w:val="BodyText"/>
      </w:pPr>
      <w:r>
        <w:rPr>
          <w:b/>
          <w:bCs/>
        </w:rPr>
        <w:t xml:space="preserve">Does change:</w:t>
      </w:r>
      <w:r>
        <w:t xml:space="preserve"> </w:t>
      </w:r>
      <w:r>
        <w:rPr>
          <w:i/>
          <w:iCs/>
        </w:rPr>
        <w:t xml:space="preserve">where</w:t>
      </w:r>
      <w:r>
        <w:t xml:space="preserve"> </w:t>
      </w:r>
      <w:r>
        <w:t xml:space="preserve">the migration executes. Private-Endpoint-only means the conversion and bulk load must run from inside BW’s network — over VPN, from an in-VNet jump host, or from in-VNet Azure compute. That decision should be made now, because it determines where tooling gets installed and where the Supabase export lands in transit.</w:t>
      </w:r>
    </w:p>
    <w:p>
      <w:pPr>
        <w:pStyle w:val="BodyText"/>
      </w:pPr>
      <w:r>
        <w:rPr>
          <w:b/>
          <w:bCs/>
        </w:rPr>
        <w:t xml:space="preserve">One scope implication surfaced:</w:t>
      </w:r>
      <w:r>
        <w:t xml:space="preserve"> </w:t>
      </w:r>
      <w:r>
        <w:t xml:space="preserve">the endpoint format (</w:t>
      </w:r>
      <w:r>
        <w:rPr>
          <w:rStyle w:val="VerbatimChar"/>
        </w:rPr>
        <w:t xml:space="preserve">*.database.windows.net</w:t>
      </w:r>
      <w:r>
        <w:t xml:space="preserve"> </w:t>
      </w:r>
      <w:r>
        <w:t xml:space="preserve">with no Managed Instance DNS zone segment, gateway</w:t>
      </w:r>
      <w:r>
        <w:t xml:space="preserve"> </w:t>
      </w:r>
      <w:r>
        <w:rPr>
          <w:rStyle w:val="VerbatimChar"/>
        </w:rPr>
        <w:t xml:space="preserve">cr14.eastus1-a.control</w:t>
      </w:r>
      <w:r>
        <w:t xml:space="preserve">) indicates</w:t>
      </w:r>
      <w:r>
        <w:t xml:space="preserve"> </w:t>
      </w:r>
      <w:r>
        <w:rPr>
          <w:b/>
          <w:bCs/>
        </w:rPr>
        <w:t xml:space="preserve">Azure SQL Database</w:t>
      </w:r>
      <w:r>
        <w:t xml:space="preserve">, not Managed Instance. That means</w:t>
      </w:r>
      <w:r>
        <w:t xml:space="preserve"> </w:t>
      </w:r>
      <w:r>
        <w:rPr>
          <w:b/>
          <w:bCs/>
        </w:rPr>
        <w:t xml:space="preserve">no SQL Server Agent</w:t>
      </w:r>
      <w:r>
        <w:t xml:space="preserve">, so the 21</w:t>
      </w:r>
      <w:r>
        <w:t xml:space="preserve"> </w:t>
      </w:r>
      <w:r>
        <w:rPr>
          <w:rStyle w:val="VerbatimChar"/>
        </w:rPr>
        <w:t xml:space="preserve">pg_cron</w:t>
      </w:r>
      <w:r>
        <w:t xml:space="preserve"> </w:t>
      </w:r>
      <w:r>
        <w:t xml:space="preserve">jobs must land on</w:t>
      </w:r>
      <w:r>
        <w:t xml:space="preserve"> </w:t>
      </w:r>
      <w:r>
        <w:rPr>
          <w:b/>
          <w:bCs/>
        </w:rPr>
        <w:t xml:space="preserve">Elastic Jobs</w:t>
      </w:r>
      <w:r>
        <w:t xml:space="preserve"> </w:t>
      </w:r>
      <w:r>
        <w:t xml:space="preserve">or Azure Functions timers. Pending written confirmation from BW — see decision D1 in</w:t>
      </w:r>
      <w:r>
        <w:t xml:space="preserve"> </w:t>
      </w:r>
      <w:r>
        <w:rPr>
          <w:rStyle w:val="VerbatimChar"/>
        </w:rPr>
        <w:t xml:space="preserve">18_migration_roadmap.md</w:t>
      </w:r>
      <w:r>
        <w:t xml:space="preserve">.</w:t>
      </w:r>
    </w:p>
    <w:bookmarkEnd w:id="20"/>
    <w:bookmarkStart w:id="21" w:name="open-items-for-bw"/>
    <w:p>
      <w:pPr>
        <w:pStyle w:val="Heading2"/>
      </w:pPr>
      <w:r>
        <w:t xml:space="preserve">Open items for BW</w:t>
      </w:r>
    </w:p>
    <w:p>
      <w:pPr>
        <w:pStyle w:val="Compact"/>
        <w:numPr>
          <w:ilvl w:val="0"/>
          <w:numId w:val="1004"/>
        </w:numPr>
      </w:pPr>
      <w:r>
        <w:t xml:space="preserve">Identify who owns the network configuration for</w:t>
      </w:r>
      <w:r>
        <w:t xml:space="preserve"> </w:t>
      </w:r>
      <w:r>
        <w:rPr>
          <w:rStyle w:val="VerbatimChar"/>
        </w:rPr>
        <w:t xml:space="preserve">cbsuse-sql01</w:t>
      </w:r>
      <w:r>
        <w:t xml:space="preserve"> </w:t>
      </w:r>
      <w:r>
        <w:t xml:space="preserve">(Private Endpoint / public-access settings). This is currently unknown to BioCreative and is the routing prerequisite for item 1.</w:t>
      </w:r>
    </w:p>
    <w:p>
      <w:pPr>
        <w:pStyle w:val="Compact"/>
        <w:numPr>
          <w:ilvl w:val="0"/>
          <w:numId w:val="1004"/>
        </w:numPr>
      </w:pPr>
      <w:r>
        <w:t xml:space="preserve">Choose one of the four network-access options in §4.</w:t>
      </w:r>
    </w:p>
    <w:p>
      <w:pPr>
        <w:pStyle w:val="Compact"/>
        <w:numPr>
          <w:ilvl w:val="0"/>
          <w:numId w:val="1004"/>
        </w:numPr>
      </w:pPr>
      <w:r>
        <w:t xml:space="preserve">Run the grant-B T-SQL in §3 and confirm.</w:t>
      </w:r>
    </w:p>
    <w:p>
      <w:pPr>
        <w:pStyle w:val="Compact"/>
        <w:numPr>
          <w:ilvl w:val="0"/>
          <w:numId w:val="1004"/>
        </w:numPr>
      </w:pPr>
      <w:r>
        <w:t xml:space="preserve">Grant Azure Portal Reader on the resource group + SQL server (§5).</w:t>
      </w:r>
    </w:p>
    <w:p>
      <w:pPr>
        <w:pStyle w:val="Compact"/>
        <w:numPr>
          <w:ilvl w:val="0"/>
          <w:numId w:val="1004"/>
        </w:numPr>
      </w:pPr>
      <w:r>
        <w:t xml:space="preserve">Confirm in writing that</w:t>
      </w:r>
      <w:r>
        <w:t xml:space="preserve"> </w:t>
      </w:r>
      <w:r>
        <w:rPr>
          <w:rStyle w:val="VerbatimChar"/>
          <w:b/>
          <w:bCs/>
        </w:rPr>
        <w:t xml:space="preserve">siplatform</w:t>
      </w:r>
      <w:r>
        <w:rPr>
          <w:b/>
          <w:bCs/>
        </w:rPr>
        <w:t xml:space="preserve"> </w:t>
      </w:r>
      <w:r>
        <w:rPr>
          <w:b/>
          <w:bCs/>
        </w:rPr>
        <w:t xml:space="preserve">is a dedicated database for the CARR platform</w:t>
      </w:r>
      <w:r>
        <w:t xml:space="preserve">, not a shared BW application database. The generic name plus the divisional</w:t>
      </w:r>
      <w:r>
        <w:t xml:space="preserve"> </w:t>
      </w:r>
      <w:r>
        <w:rPr>
          <w:rStyle w:val="VerbatimChar"/>
        </w:rPr>
        <w:t xml:space="preserve">cbsuse-sql01</w:t>
      </w:r>
      <w:r>
        <w:t xml:space="preserve"> </w:t>
      </w:r>
      <w:r>
        <w:t xml:space="preserve">server naming leave this ambiguous, and landing 86 CARR tables into a live shared system would be wrong.</w:t>
      </w:r>
    </w:p>
    <w:p>
      <w:pPr>
        <w:pStyle w:val="Compact"/>
        <w:numPr>
          <w:ilvl w:val="0"/>
          <w:numId w:val="1004"/>
        </w:numPr>
      </w:pPr>
      <w:r>
        <w:t xml:space="preserve">Confirm</w:t>
      </w:r>
      <w:r>
        <w:t xml:space="preserve"> </w:t>
      </w:r>
      <w:r>
        <w:rPr>
          <w:b/>
          <w:bCs/>
        </w:rPr>
        <w:t xml:space="preserve">Azure SQL Database vs Managed Instance</w:t>
      </w:r>
      <w:r>
        <w:t xml:space="preserve"> </w:t>
      </w:r>
      <w:r>
        <w:t xml:space="preserve">in writing (§6).</w:t>
      </w:r>
    </w:p>
    <w:bookmarkEnd w:id="21"/>
    <w:bookmarkStart w:id="22" w:name="cross-references"/>
    <w:p>
      <w:pPr>
        <w:pStyle w:val="Heading2"/>
      </w:pPr>
      <w:r>
        <w:t xml:space="preserve">Cross-references</w:t>
      </w:r>
    </w:p>
    <w:p>
      <w:pPr>
        <w:pStyle w:val="Compact"/>
        <w:numPr>
          <w:ilvl w:val="0"/>
          <w:numId w:val="1005"/>
        </w:numPr>
      </w:pPr>
      <w:r>
        <w:t xml:space="preserve">Live status + the blocker log:</w:t>
      </w:r>
      <w:r>
        <w:t xml:space="preserve"> </w:t>
      </w:r>
      <w:r>
        <w:rPr>
          <w:rStyle w:val="VerbatimChar"/>
        </w:rPr>
        <w:t xml:space="preserve">15_migration_status.md</w:t>
      </w:r>
    </w:p>
    <w:p>
      <w:pPr>
        <w:pStyle w:val="Compact"/>
        <w:numPr>
          <w:ilvl w:val="0"/>
          <w:numId w:val="1005"/>
        </w:numPr>
      </w:pPr>
      <w:r>
        <w:t xml:space="preserve">Roadmap, Phase 0 gates, blockers table:</w:t>
      </w:r>
      <w:r>
        <w:t xml:space="preserve"> </w:t>
      </w:r>
      <w:r>
        <w:rPr>
          <w:rStyle w:val="VerbatimChar"/>
        </w:rPr>
        <w:t xml:space="preserve">18_migration_roadmap.md</w:t>
      </w:r>
    </w:p>
    <w:p>
      <w:pPr>
        <w:pStyle w:val="Compact"/>
        <w:numPr>
          <w:ilvl w:val="0"/>
          <w:numId w:val="1005"/>
        </w:numPr>
      </w:pPr>
      <w:r>
        <w:t xml:space="preserve">Conversion scope + data-transfer runbook:</w:t>
      </w:r>
      <w:r>
        <w:t xml:space="preserve"> </w:t>
      </w:r>
      <w:r>
        <w:rPr>
          <w:rStyle w:val="VerbatimChar"/>
        </w:rPr>
        <w:t xml:space="preserve">07_azure_sql_conversion.md</w:t>
      </w:r>
    </w:p>
    <w:p>
      <w:pPr>
        <w:pStyle w:val="Compact"/>
        <w:numPr>
          <w:ilvl w:val="0"/>
          <w:numId w:val="1005"/>
        </w:numPr>
      </w:pPr>
      <w:r>
        <w:t xml:space="preserve">Identity + DevOps + Entra:</w:t>
      </w:r>
      <w:r>
        <w:t xml:space="preserve"> </w:t>
      </w:r>
      <w:r>
        <w:rPr>
          <w:rStyle w:val="VerbatimChar"/>
        </w:rPr>
        <w:t xml:space="preserve">04_github_devops_governance.md</w:t>
      </w:r>
    </w:p>
    <w:p>
      <w:pPr>
        <w:pStyle w:val="Compact"/>
        <w:numPr>
          <w:ilvl w:val="0"/>
          <w:numId w:val="1005"/>
        </w:numPr>
      </w:pPr>
      <w:r>
        <w:t xml:space="preserve">Plain-English Azure glossary:</w:t>
      </w:r>
      <w:r>
        <w:t xml:space="preserve"> </w:t>
      </w:r>
      <w:r>
        <w:rPr>
          <w:rStyle w:val="VerbatimChar"/>
        </w:rPr>
        <w:t xml:space="preserve">06_glossary.md</w:t>
      </w:r>
    </w:p>
    <w:bookmarkEnd w:id="22"/>
    <w:bookmarkStart w:id="23" w:name="research-anchors"/>
    <w:p>
      <w:pPr>
        <w:pStyle w:val="Heading2"/>
      </w:pPr>
      <w:r>
        <w:t xml:space="preserve">Research anchors</w:t>
      </w:r>
    </w:p>
    <w:p>
      <w:pPr>
        <w:pStyle w:val="Compact"/>
        <w:numPr>
          <w:ilvl w:val="0"/>
          <w:numId w:val="1006"/>
        </w:numPr>
      </w:pPr>
      <w:r>
        <w:t xml:space="preserve">SSMS system requirements (Windows only):</w:t>
      </w:r>
      <w:r>
        <w:t xml:space="preserve"> </w:t>
      </w:r>
      <w:r>
        <w:rPr>
          <w:rStyle w:val="VerbatimChar"/>
        </w:rPr>
        <w:t xml:space="preserve">learn.microsoft.com/en-us/ssms/system-requirements</w:t>
      </w:r>
    </w:p>
    <w:p>
      <w:pPr>
        <w:pStyle w:val="Compact"/>
        <w:numPr>
          <w:ilvl w:val="0"/>
          <w:numId w:val="1006"/>
        </w:numPr>
      </w:pPr>
      <w:r>
        <w:t xml:space="preserve">Azure Data Studio retirement (2026-02-28) + VS Code migration path:</w:t>
      </w:r>
      <w:r>
        <w:t xml:space="preserve"> </w:t>
      </w:r>
      <w:r>
        <w:rPr>
          <w:rStyle w:val="VerbatimChar"/>
        </w:rPr>
        <w:t xml:space="preserve">learn.microsoft.com/en-us/sql/tools/whats-happening-azure-data-studio</w:t>
      </w:r>
    </w:p>
    <w:p>
      <w:pPr>
        <w:pStyle w:val="Compact"/>
        <w:numPr>
          <w:ilvl w:val="0"/>
          <w:numId w:val="1006"/>
        </w:numPr>
      </w:pPr>
      <w:r>
        <w:t xml:space="preserve">MSSQL extension for VS Code (platforms + Entra/MFA support):</w:t>
      </w:r>
      <w:r>
        <w:t xml:space="preserve"> </w:t>
      </w:r>
      <w:r>
        <w:rPr>
          <w:rStyle w:val="VerbatimChar"/>
        </w:rPr>
        <w:t xml:space="preserve">learn.microsoft.com/en-us/sql/tools/visual-studio-code-extensions/mssql/mssql-extension-visual-studio-code</w:t>
      </w:r>
    </w:p>
    <w:p>
      <w:pPr>
        <w:pStyle w:val="Compact"/>
        <w:numPr>
          <w:ilvl w:val="0"/>
          <w:numId w:val="1006"/>
        </w:numPr>
      </w:pPr>
      <w:r>
        <w:t xml:space="preserve">Entra authentication for Azure SQL +</w:t>
      </w:r>
      <w:r>
        <w:t xml:space="preserve"> </w:t>
      </w:r>
      <w:r>
        <w:rPr>
          <w:rStyle w:val="VerbatimChar"/>
        </w:rPr>
        <w:t xml:space="preserve">CREATE USER ... FROM EXTERNAL PROVIDER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learn.microsoft.com/en-us/azure/azure-sql/database/authentication-aad-configure</w:t>
      </w:r>
    </w:p>
    <w:p>
      <w:pPr>
        <w:pStyle w:val="Compact"/>
        <w:numPr>
          <w:ilvl w:val="0"/>
          <w:numId w:val="1006"/>
        </w:numPr>
      </w:pPr>
      <w:r>
        <w:t xml:space="preserve">Azure SQL IP firewall rules:</w:t>
      </w:r>
      <w:r>
        <w:t xml:space="preserve"> </w:t>
      </w:r>
      <w:r>
        <w:rPr>
          <w:rStyle w:val="VerbatimChar"/>
        </w:rPr>
        <w:t xml:space="preserve">learn.microsoft.com/en-us/azure/azure-sql/database/firewall-configure</w:t>
      </w:r>
    </w:p>
    <w:p>
      <w:pPr>
        <w:pStyle w:val="Compact"/>
        <w:numPr>
          <w:ilvl w:val="0"/>
          <w:numId w:val="1006"/>
        </w:numPr>
      </w:pPr>
      <w:r>
        <w:t xml:space="preserve">Deny-public-network-access error reference:</w:t>
      </w:r>
      <w:r>
        <w:t xml:space="preserve"> </w:t>
      </w:r>
      <w:r>
        <w:rPr>
          <w:rStyle w:val="VerbatimChar"/>
        </w:rPr>
        <w:t xml:space="preserve">go.microsoft.com/fwlink/?linkid=2323206</w:t>
      </w:r>
      <w:r>
        <w:t xml:space="preserve"> </w:t>
      </w:r>
      <w:r>
        <w:t xml:space="preserve">(returned verbatim by the server)</w:t>
      </w:r>
    </w:p>
    <w:p>
      <w:pPr>
        <w:pStyle w:val="Compact"/>
        <w:numPr>
          <w:ilvl w:val="0"/>
          <w:numId w:val="1006"/>
        </w:numPr>
      </w:pPr>
      <w:r>
        <w:t xml:space="preserve">Live connection test: BioCreative, macOS,</w:t>
      </w:r>
      <w:r>
        <w:t xml:space="preserve"> </w:t>
      </w:r>
      <w:r>
        <w:rPr>
          <w:rStyle w:val="VerbatimChar"/>
        </w:rPr>
        <w:t xml:space="preserve">sqlcmd</w:t>
      </w:r>
      <w:r>
        <w:t xml:space="preserve"> </w:t>
      </w:r>
      <w:r>
        <w:t xml:space="preserve">1.10.0, 2026-07-29.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0">
    <w:nsid w:val="00A99410"/>
    <w:multiLevelType w:val="multilevel"/>
    <w:lvl w:ilvl="0">
      <w:start w:val="0"/>
      <w:numFmt w:val="decimal"/>
      <w:lvlText w:val="%1."/>
      <w:lvlJc w:val="left"/>
      <w:pPr>
        <w:ind w:left="720" w:hanging="360"/>
      </w:pPr>
    </w:lvl>
    <w:lvl w:ilvl="1">
      <w:start w:val="0"/>
      <w:numFmt w:val="decimal"/>
      <w:lvlText w:val="%2."/>
      <w:lvlJc w:val="left"/>
      <w:pPr>
        <w:ind w:left="1440" w:hanging="360"/>
      </w:pPr>
    </w:lvl>
    <w:lvl w:ilvl="2">
      <w:start w:val="0"/>
      <w:numFmt w:val="decimal"/>
      <w:lvlText w:val="%3."/>
      <w:lvlJc w:val="left"/>
      <w:pPr>
        <w:ind w:left="2160" w:hanging="360"/>
      </w:pPr>
    </w:lvl>
    <w:lvl w:ilvl="3">
      <w:start w:val="0"/>
      <w:numFmt w:val="decimal"/>
      <w:lvlText w:val="%4."/>
      <w:lvlJc w:val="left"/>
      <w:pPr>
        <w:ind w:left="2880" w:hanging="360"/>
      </w:pPr>
    </w:lvl>
    <w:lvl w:ilvl="4">
      <w:start w:val="0"/>
      <w:numFmt w:val="decimal"/>
      <w:lvlText w:val="%5."/>
      <w:lvlJc w:val="left"/>
      <w:pPr>
        <w:ind w:left="3600" w:hanging="360"/>
      </w:pPr>
    </w:lvl>
    <w:lvl w:ilvl="5">
      <w:start w:val="0"/>
      <w:numFmt w:val="decimal"/>
      <w:lvlText w:val="%6."/>
      <w:lvlJc w:val="left"/>
      <w:pPr>
        <w:ind w:left="4320" w:hanging="360"/>
      </w:pPr>
    </w:lvl>
    <w:lvl w:ilvl="6">
      <w:start w:val="0"/>
      <w:numFmt w:val="decimal"/>
      <w:lvlText w:val="%7."/>
      <w:lvlJc w:val="left"/>
      <w:pPr>
        <w:ind w:left="5040" w:hanging="360"/>
      </w:pPr>
    </w:lvl>
    <w:lvl w:ilvl="7">
      <w:start w:val="0"/>
      <w:numFmt w:val="decimal"/>
      <w:lvlText w:val="%8."/>
      <w:lvlJc w:val="left"/>
      <w:pPr>
        <w:ind w:left="5760" w:hanging="360"/>
      </w:pPr>
    </w:lvl>
    <w:lvl w:ilvl="8">
      <w:start w:val="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0"/>
    <w:lvlOverride w:ilvl="0">
      <w:startOverride w:val="0"/>
    </w:lvlOverride>
    <w:lvlOverride w:ilvl="1">
      <w:startOverride w:val="0"/>
    </w:lvlOverride>
    <w:lvlOverride w:ilvl="2">
      <w:startOverride w:val="0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Tooling &amp; Database Access (SSMS, macOS clients, the three grants)</dc:title>
  <dc:creator>BioCreative Strategies; Prepared for CARR Biosystems (Barry-Wehmiller)</dc:creator>
  <cp:keywords/>
  <dcterms:created xsi:type="dcterms:W3CDTF">2026-08-07T19:37:23Z</dcterms:created>
  <dcterms:modified xsi:type="dcterms:W3CDTF">2026-08-07T19:37:23Z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August 07, 2026</vt:lpwstr>
  </property>
</Properties>
</file>