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Azure Migration Briefing (client brief)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47" w:name="X11a52cc04fd7ef79fe2a6aed366c54a764d7848"/>
    <w:p>
      <w:pPr>
        <w:pStyle w:val="Heading1"/>
      </w:pPr>
      <w:r>
        <w:t xml:space="preserve">CARR Sales-Intelligence Platform → Azure: Environment Briefing &amp; Migration Decision Guide</w:t>
      </w:r>
    </w:p>
    <w:p>
      <w:pPr>
        <w:pStyle w:val="BlockText"/>
      </w:pPr>
      <w:r>
        <w:rPr>
          <w:b/>
          <w:bCs/>
        </w:rPr>
        <w:t xml:space="preserve">Prepared by:</w:t>
      </w:r>
      <w:r>
        <w:t xml:space="preserve"> </w:t>
      </w:r>
      <w:r>
        <w:t xml:space="preserve">BioCreative Strategies (BC) for Barry-Wehmiller IT &amp; CARR Biosystems</w:t>
      </w:r>
      <w:r>
        <w:t xml:space="preserve"> </w:t>
      </w:r>
      <w:r>
        <w:rPr>
          <w:b/>
          <w:bCs/>
        </w:rPr>
        <w:t xml:space="preserve">Audience:</w:t>
      </w:r>
      <w:r>
        <w:t xml:space="preserve"> </w:t>
      </w:r>
      <w:r>
        <w:t xml:space="preserve">Chad Evans, Nancy Risch, Heather Greffe, Landon Godar (BW IT) · Colby Bishop (CARR)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2026-06-17 ·</w:t>
      </w:r>
      <w:r>
        <w:t xml:space="preserve"> </w:t>
      </w:r>
      <w:r>
        <w:rPr>
          <w:b/>
          <w:bCs/>
        </w:rPr>
        <w:t xml:space="preserve">Updated:</w:t>
      </w:r>
      <w:r>
        <w:t xml:space="preserve"> </w:t>
      </w:r>
      <w:r>
        <w:t xml:space="preserve">2026-06-28 ·</w:t>
      </w:r>
      <w:r>
        <w:t xml:space="preserve"> </w:t>
      </w:r>
      <w:r>
        <w:rPr>
          <w:b/>
          <w:bCs/>
        </w:rPr>
        <w:t xml:space="preserve">Status:</w:t>
      </w:r>
      <w:r>
        <w:t xml:space="preserve"> </w:t>
      </w:r>
      <w:r>
        <w:t xml:space="preserve">Core migration brief (v2)</w:t>
      </w:r>
      <w:r>
        <w:t xml:space="preserve"> </w:t>
      </w:r>
      <w:r>
        <w:rPr>
          <w:b/>
          <w:bCs/>
        </w:rPr>
        <w:t xml:space="preserve">Purpose:</w:t>
      </w:r>
      <w:r>
        <w:t xml:space="preserve"> </w:t>
      </w:r>
      <w:r>
        <w:t xml:space="preserve">A transparent, vendor-neutral reference covering (1) what BC built for CARR, (2) how the target Azure environment works, (3) the database-engine question and BW’s selected path, and (4) what the migration actually entails — with honest effort, current 2026 industry context, and how the work is de-risked. This is the</w:t>
      </w:r>
      <w:r>
        <w:t xml:space="preserve"> </w:t>
      </w:r>
      <w:r>
        <w:rPr>
          <w:b/>
          <w:bCs/>
        </w:rPr>
        <w:t xml:space="preserve">core, shareable document</w:t>
      </w:r>
      <w:r>
        <w:t xml:space="preserve">; the deeper working detail behind every section lives in the companion documents mapped in §VIII.</w:t>
      </w:r>
      <w:r>
        <w:t xml:space="preserve"> </w:t>
      </w:r>
      <w:r>
        <w:rPr>
          <w:b/>
          <w:bCs/>
        </w:rPr>
        <w:t xml:space="preserve">What’s new in v2:</w:t>
      </w:r>
      <w:r>
        <w:t xml:space="preserve"> </w:t>
      </w:r>
      <w:r>
        <w:t xml:space="preserve">reflects BW IT’s</w:t>
      </w:r>
      <w:r>
        <w:t xml:space="preserve"> </w:t>
      </w:r>
      <w:r>
        <w:rPr>
          <w:b/>
          <w:bCs/>
        </w:rPr>
        <w:t xml:space="preserve">2026-06-17 selection of Azure SQL</w:t>
      </w:r>
      <w:r>
        <w:t xml:space="preserve"> </w:t>
      </w:r>
      <w:r>
        <w:t xml:space="preserve">as the standard; folds in current external research on database trends + AI tooling (§3.5), the verified conversion scope, and how modern tooling makes that conversion tractable (§3.6).</w:t>
      </w:r>
    </w:p>
    <w:p>
      <w:r>
        <w:pict>
          <v:rect style="width:0;height:1.5pt" o:hralign="center" o:hrstd="t" o:hr="t"/>
        </w:pict>
      </w:r>
    </w:p>
    <w:bookmarkStart w:id="9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CARR runs a production sales-intelligence platform that BC built over the last ~4 months. Barry-Wehmiller IT is bringing it in-house onto BW’s enterprise Azure footprint. Three workstreams are already moving in parallel:</w:t>
      </w:r>
      <w:r>
        <w:t xml:space="preserve"> </w:t>
      </w:r>
      <w:r>
        <w:rPr>
          <w:b/>
          <w:bCs/>
        </w:rPr>
        <w:t xml:space="preserve">GitHub Enterprise</w:t>
      </w:r>
      <w:r>
        <w:t xml:space="preserve"> </w:t>
      </w:r>
      <w:r>
        <w:t xml:space="preserve">(repo home), the</w:t>
      </w:r>
      <w:r>
        <w:t xml:space="preserve"> </w:t>
      </w:r>
      <w:r>
        <w:rPr>
          <w:b/>
          <w:bCs/>
        </w:rPr>
        <w:t xml:space="preserve">database/hosting environment</w:t>
      </w:r>
      <w:r>
        <w:t xml:space="preserve">, and a</w:t>
      </w:r>
      <w:r>
        <w:t xml:space="preserve"> </w:t>
      </w:r>
      <w:r>
        <w:rPr>
          <w:b/>
          <w:bCs/>
        </w:rPr>
        <w:t xml:space="preserve">“virtual environment”</w:t>
      </w:r>
      <w:r>
        <w:t xml:space="preserve"> </w:t>
      </w:r>
      <w:r>
        <w:t xml:space="preserve">(governed Azure landing zone). This document lays out everything the migration touches, with the database-engine decision —</w:t>
      </w:r>
      <w:r>
        <w:t xml:space="preserve"> </w:t>
      </w:r>
      <w:r>
        <w:rPr>
          <w:b/>
          <w:bCs/>
        </w:rPr>
        <w:t xml:space="preserve">the one genuinely consequential choice</w:t>
      </w:r>
      <w:r>
        <w:t xml:space="preserve"> </w:t>
      </w:r>
      <w:r>
        <w:t xml:space="preserve">— front and center.</w:t>
      </w:r>
    </w:p>
    <w:p>
      <w:pPr>
        <w:pStyle w:val="BodyText"/>
      </w:pPr>
      <w:r>
        <w:rPr>
          <w:b/>
          <w:bCs/>
        </w:rPr>
        <w:t xml:space="preserve">Where the engine decision landed.</w:t>
      </w:r>
      <w:r>
        <w:t xml:space="preserve"> </w:t>
      </w:r>
      <w:r>
        <w:t xml:space="preserve">On the</w:t>
      </w:r>
      <w:r>
        <w:t xml:space="preserve"> </w:t>
      </w:r>
      <w:r>
        <w:rPr>
          <w:b/>
          <w:bCs/>
        </w:rPr>
        <w:t xml:space="preserve">2026-06-17 BW IT call</w:t>
      </w:r>
      <w:r>
        <w:t xml:space="preserve">, BW selected</w:t>
      </w:r>
      <w:r>
        <w:t xml:space="preserve"> </w:t>
      </w:r>
      <w:r>
        <w:rPr>
          <w:b/>
          <w:bCs/>
        </w:rPr>
        <w:t xml:space="preserve">Azure SQL</w:t>
      </w:r>
      <w:r>
        <w:t xml:space="preserve"> </w:t>
      </w:r>
      <w:r>
        <w:t xml:space="preserve">as the target database, to align CARR with BW’s enterprise data-platform standard (single supported engine, one DBA toolchain, Entra-native security, Microsoft-stack/Foundry adjacency). This brief treats that as the working path and details what it entails. For full transparency it also preserves the</w:t>
      </w:r>
      <w:r>
        <w:t xml:space="preserve"> </w:t>
      </w:r>
      <w:r>
        <w:rPr>
          <w:b/>
          <w:bCs/>
        </w:rPr>
        <w:t xml:space="preserve">Azure Database for PostgreSQL</w:t>
      </w:r>
      <w:r>
        <w:t xml:space="preserve"> </w:t>
      </w:r>
      <w:r>
        <w:t xml:space="preserve">comparison, because that was the lower-rebuild-cost technical alternative and the comparison is useful context for BW’s own records.</w:t>
      </w:r>
    </w:p>
    <w:p>
      <w:pPr>
        <w:pStyle w:val="BodyText"/>
      </w:pPr>
      <w:r>
        <w:rPr>
          <w:b/>
          <w:bCs/>
        </w:rPr>
        <w:t xml:space="preserve">The single most important clarification.</w:t>
      </w:r>
      <w:r>
        <w:t xml:space="preserve"> </w:t>
      </w:r>
      <w:r>
        <w:t xml:space="preserve">The choice in front of BW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“Microsoft-managed Azure SQL vs. unmanaged open-source Postgres.”</w:t>
      </w:r>
      <w:r>
        <w:t xml:space="preserve"> </w:t>
      </w:r>
      <w:r>
        <w:t xml:space="preserve">Both candidate engines are</w:t>
      </w:r>
      <w:r>
        <w:t xml:space="preserve"> </w:t>
      </w:r>
      <w:r>
        <w:rPr>
          <w:b/>
          <w:bCs/>
        </w:rPr>
        <w:t xml:space="preserve">first-party, fully Microsoft-managed Azure services</w:t>
      </w:r>
      <w:r>
        <w:t xml:space="preserve"> </w:t>
      </w:r>
      <w:r>
        <w:t xml:space="preserve">with the same enterprise security posture (Microsoft Defender, automated patching, SLAs, Entra ID auth, private networking):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Azure SQL Database</w:t>
      </w:r>
      <w:r>
        <w:t xml:space="preserve"> </w:t>
      </w:r>
      <w:r>
        <w:t xml:space="preserve">— Microsoft’s SQL Server engine (T-SQL), BW’s current data-platform standard.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Azure Database for PostgreSQL — Flexible Server</w:t>
      </w:r>
      <w:r>
        <w:t xml:space="preserve"> </w:t>
      </w:r>
      <w:r>
        <w:t xml:space="preserve">— Microsoft’s</w:t>
      </w:r>
      <w:r>
        <w:t xml:space="preserve"> </w:t>
      </w:r>
      <w:r>
        <w:rPr>
          <w:i/>
          <w:iCs/>
        </w:rPr>
        <w:t xml:space="preserve">managed PostgreSQL</w:t>
      </w:r>
      <w:r>
        <w:t xml:space="preserve"> </w:t>
      </w:r>
      <w:r>
        <w:t xml:space="preserve">PaaS. It is the same kind of governed, Microsoft-run service as Azure SQL; it is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the self-hosted open-source product CARR runs today on Supabase.</w:t>
      </w:r>
    </w:p>
    <w:p>
      <w:pPr>
        <w:pStyle w:val="FirstParagraph"/>
      </w:pPr>
      <w:r>
        <w:t xml:space="preserve">So the real trade-off is</w:t>
      </w:r>
      <w:r>
        <w:t xml:space="preserve"> </w:t>
      </w:r>
      <w:r>
        <w:rPr>
          <w:b/>
          <w:bCs/>
        </w:rPr>
        <w:t xml:space="preserve">engine fit + migration cost + DBA-team familiarity</w:t>
      </w:r>
      <w:r>
        <w:t xml:space="preserve">, not security or</w:t>
      </w:r>
      <w:r>
        <w:t xml:space="preserve"> </w:t>
      </w:r>
      <w:r>
        <w:t xml:space="preserve">“managed vs. unmanaged.”</w:t>
      </w:r>
      <w:r>
        <w:t xml:space="preserve"> </w:t>
      </w:r>
      <w:r>
        <w:t xml:space="preserve">BW’s DBA standard is Microsoft SQL (per Nancy Risch), and that is a legitimate organizational consideration; at the same time, BW’s DBA lead (Venkata) confirmed the team</w:t>
      </w:r>
      <w:r>
        <w:t xml:space="preserve"> </w:t>
      </w:r>
      <w:r>
        <w:t xml:space="preserve">“doesn’t have a problem supporting Postgres.”</w:t>
      </w:r>
      <w:r>
        <w:t xml:space="preserve"> </w:t>
      </w:r>
      <w:r>
        <w:t xml:space="preserve">Both are viable. The two paths differ mainly in how much of CARR’s existing code has to be rebuilt.</w:t>
      </w:r>
    </w:p>
    <w:p>
      <w:pPr>
        <w:pStyle w:val="BodyText"/>
      </w:pPr>
      <w:r>
        <w:rPr>
          <w:b/>
          <w:bCs/>
        </w:rPr>
        <w:t xml:space="preserve">The two paths in one line each: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Path A — Azure Database for PostgreSQL (Flexible Server):</w:t>
      </w:r>
      <w:r>
        <w:t xml:space="preserve"> </w:t>
      </w:r>
      <w:r>
        <w:t xml:space="preserve">near lift-and-shift. Schema, security policies, scheduled jobs, and data move largely intact; the application code keeps working; the main remaining work is re-homing the serverless functions and swapping authentication.</w:t>
      </w:r>
      <w:r>
        <w:t xml:space="preserve"> </w:t>
      </w:r>
      <w:r>
        <w:rPr>
          <w:b/>
          <w:bCs/>
        </w:rPr>
        <w:t xml:space="preserve">Lowest rebuild risk, fastest to production. Off BW’s DBA standard.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Path B — Azure SQL Database (BW standard):</w:t>
      </w:r>
      <w:r>
        <w:t xml:space="preserve"> </w:t>
      </w:r>
      <w:r>
        <w:t xml:space="preserve">a genuine rebuild. Every database migration is re-authored in T-SQL, the security model is re-engineered, scheduled jobs move to a different scheduler, the AI/retrieval layer re-homes to Azure AI Search, and the 20 functions are ported.</w:t>
      </w:r>
      <w:r>
        <w:t xml:space="preserve"> </w:t>
      </w:r>
      <w:r>
        <w:rPr>
          <w:b/>
          <w:bCs/>
        </w:rPr>
        <w:t xml:space="preserve">On-standard for BW, but materially longer timeline.</w:t>
      </w:r>
    </w:p>
    <w:p>
      <w:pPr>
        <w:pStyle w:val="FirstParagraph"/>
      </w:pPr>
      <w:r>
        <w:t xml:space="preserve">Neither path is blocked, and BW’s selection of Azure SQL is a legitimate enterprise-standardization decision. The good news from the latest research: while there is no one-click PG→Azure SQL converter, the conversion is</w:t>
      </w:r>
      <w:r>
        <w:t xml:space="preserve"> </w:t>
      </w:r>
      <w:r>
        <w:rPr>
          <w:b/>
          <w:bCs/>
        </w:rPr>
        <w:t xml:space="preserve">tractable with modern tooling</w:t>
      </w:r>
      <w:r>
        <w:t xml:space="preserve"> </w:t>
      </w:r>
      <w:r>
        <w:t xml:space="preserve">— the SQL-dialect knowledge is well-understood by today’s AI models, open transpilers handle the mechanical bulk, and BC can build a purpose-made translation step plus a verification loop to do it accountably (see §3.6). BC’s role going forward is to</w:t>
      </w:r>
      <w:r>
        <w:t xml:space="preserve"> </w:t>
      </w:r>
      <w:r>
        <w:rPr>
          <w:b/>
          <w:bCs/>
        </w:rPr>
        <w:t xml:space="preserve">support the build, educate both teams, and help establish best practices</w:t>
      </w:r>
      <w:r>
        <w:t xml:space="preserve"> </w:t>
      </w:r>
      <w:r>
        <w:t xml:space="preserve">in a fast-moving environment — not to dictate the stack.</w:t>
      </w:r>
    </w:p>
    <w:p>
      <w:pPr>
        <w:pStyle w:val="BlockText"/>
      </w:pPr>
      <w:r>
        <w:rPr>
          <w:b/>
          <w:bCs/>
        </w:rPr>
        <w:t xml:space="preserve">A note on two things said on the live call, now verified, so the team is working from accurate facts:</w:t>
      </w:r>
      <w:r>
        <w:t xml:space="preserve"> </w:t>
      </w:r>
      <w:r>
        <w:t xml:space="preserve">(1) CARR’s serverless functions are written in</w:t>
      </w:r>
      <w:r>
        <w:t xml:space="preserve"> </w:t>
      </w:r>
      <w:r>
        <w:rPr>
          <w:b/>
          <w:bCs/>
        </w:rPr>
        <w:t xml:space="preserve">Deno/TypeScript</w:t>
      </w:r>
      <w:r>
        <w:t xml:space="preserve">, not Python — this changes the</w:t>
      </w:r>
      <w:r>
        <w:t xml:space="preserve"> </w:t>
      </w:r>
      <w:r>
        <w:t xml:space="preserve">“port to Azure Functions”</w:t>
      </w:r>
      <w:r>
        <w:t xml:space="preserve"> </w:t>
      </w:r>
      <w:r>
        <w:t xml:space="preserve">assessment (see Part IV). (2) There is no meaningful technical difference</w:t>
      </w:r>
      <w:r>
        <w:t xml:space="preserve"> </w:t>
      </w:r>
      <w:r>
        <w:rPr>
          <w:i/>
          <w:iCs/>
        </w:rPr>
        <w:t xml:space="preserve">in management or security</w:t>
      </w:r>
      <w:r>
        <w:t xml:space="preserve"> </w:t>
      </w:r>
      <w:r>
        <w:t xml:space="preserve">between Azure SQL and Azure Database for PostgreSQL — both are managed Microsoft PaaS; the differences are in SQL dialect, extensions, and ecosystem (see Part III).</w:t>
      </w:r>
    </w:p>
    <w:p>
      <w:r>
        <w:pict>
          <v:rect style="width:0;height:1.5pt" o:hralign="center" o:hrstd="t" o:hr="t"/>
        </w:pict>
      </w:r>
    </w:p>
    <w:bookmarkEnd w:id="9"/>
    <w:bookmarkStart w:id="15" w:name="X1388247616374930c93735014ff842ef49acc56"/>
    <w:p>
      <w:pPr>
        <w:pStyle w:val="Heading2"/>
      </w:pPr>
      <w:r>
        <w:t xml:space="preserve">Part I — What BC built for CARR (full transparency)</w:t>
      </w:r>
    </w:p>
    <w:p>
      <w:pPr>
        <w:pStyle w:val="FirstParagraph"/>
      </w:pPr>
      <w:r>
        <w:t xml:space="preserve">CARR’s platform is a purpose-built</w:t>
      </w:r>
      <w:r>
        <w:t xml:space="preserve"> </w:t>
      </w:r>
      <w:r>
        <w:t xml:space="preserve">“mini-CRM + marketing-intelligence engine”</w:t>
      </w:r>
      <w:r>
        <w:t xml:space="preserve"> </w:t>
      </w:r>
      <w:r>
        <w:t xml:space="preserve">that sits</w:t>
      </w:r>
      <w:r>
        <w:t xml:space="preserve"> </w:t>
      </w:r>
      <w:r>
        <w:rPr>
          <w:i/>
          <w:iCs/>
        </w:rPr>
        <w:t xml:space="preserve">outside</w:t>
      </w:r>
      <w:r>
        <w:t xml:space="preserve"> </w:t>
      </w:r>
      <w:r>
        <w:t xml:space="preserve">CARR’s systems of record. It finds, enriches, scores, and engages prospects, and gives reps a single place to work.</w:t>
      </w:r>
      <w:r>
        <w:t xml:space="preserve"> </w:t>
      </w:r>
      <w:r>
        <w:rPr>
          <w:b/>
          <w:bCs/>
        </w:rPr>
        <w:t xml:space="preserve">Important scope clarification (as stated on the call): the platform contains no Barry-Wehmiller CRM data.</w:t>
      </w:r>
      <w:r>
        <w:t xml:space="preserve"> </w:t>
      </w:r>
      <w:r>
        <w:t xml:space="preserve">Every account and contact was independently built by BC via public sources and BC’s own scrapers — not pulled from BW’s Dynamics 365/CE or XA systems. CRM/XA integration is a</w:t>
      </w:r>
      <w:r>
        <w:t xml:space="preserve"> </w:t>
      </w:r>
      <w:r>
        <w:rPr>
          <w:i/>
          <w:iCs/>
        </w:rPr>
        <w:t xml:space="preserve">future</w:t>
      </w:r>
      <w:r>
        <w:t xml:space="preserve"> </w:t>
      </w:r>
      <w:r>
        <w:t xml:space="preserve">want, not a current dependency.</w:t>
      </w:r>
    </w:p>
    <w:bookmarkStart w:id="10" w:name="the-data-tier-supabase-postgres"/>
    <w:p>
      <w:pPr>
        <w:pStyle w:val="Heading3"/>
      </w:pPr>
      <w:r>
        <w:t xml:space="preserve">1.1 The data tier (Supabase Postgres)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Engine:</w:t>
      </w:r>
      <w:r>
        <w:t xml:space="preserve"> </w:t>
      </w:r>
      <w:r>
        <w:t xml:space="preserve">PostgreSQL (hosted by Supabase today).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Scale:</w:t>
      </w:r>
      <w:r>
        <w:t xml:space="preserve"> </w:t>
      </w:r>
      <w:r>
        <w:t xml:space="preserve">~4,200 accounts and ~104,000 contacts, fully enriched (company size, location, industry, classification, scoring) plus mapped contacts.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Schema depth:</w:t>
      </w:r>
      <w:r>
        <w:t xml:space="preserve"> </w:t>
      </w:r>
      <w:r>
        <w:rPr>
          <w:b/>
          <w:bCs/>
        </w:rPr>
        <w:t xml:space="preserve">89 migration files in the repo / ~560 applied migration steps in the database</w:t>
      </w:r>
      <w:r>
        <w:t xml:space="preserve"> </w:t>
      </w:r>
      <w:r>
        <w:t xml:space="preserve">(many auto-generated during iterative builds) — a deliberately structured schema (accounts, contacts, classifications, scoring, messaging matrices, campaigns, outreach, engagement history, news/signal tables, validation flags). The point for migration planning: this is real accumulated schema, not a prototype.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Row-Level Security (RLS):</w:t>
      </w:r>
      <w:r>
        <w:t xml:space="preserve"> </w:t>
      </w:r>
      <w:r>
        <w:t xml:space="preserve">access policies enforced at the database engine, keyed off the authenticated user (rows are stamped with</w:t>
      </w:r>
      <w:r>
        <w:t xml:space="preserve"> </w:t>
      </w:r>
      <w:r>
        <w:rPr>
          <w:rStyle w:val="VerbatimChar"/>
        </w:rPr>
        <w:t xml:space="preserve">actor_id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skipped_by</w:t>
      </w:r>
      <w:r>
        <w:t xml:space="preserve"> </w:t>
      </w:r>
      <w:r>
        <w:t xml:space="preserve">etc.).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Database triggers &amp; stored logic:</w:t>
      </w:r>
      <w:r>
        <w:t xml:space="preserve"> </w:t>
      </w:r>
      <w:r>
        <w:t xml:space="preserve">PL/pgSQL triggers (e.g., a 300-character guard on LinkedIn messages) and helper functions/RPCs (e.g.,</w:t>
      </w:r>
      <w:r>
        <w:t xml:space="preserve"> </w:t>
      </w:r>
      <w:r>
        <w:rPr>
          <w:rStyle w:val="VerbatimChar"/>
        </w:rPr>
        <w:t xml:space="preserve">resolve_messaging_strategy()</w:t>
      </w:r>
      <w:r>
        <w:t xml:space="preserve">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Extensions in use (verified):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 </w:t>
      </w:r>
      <w:r>
        <w:t xml:space="preserve">(scheduling),</w:t>
      </w:r>
      <w:r>
        <w:t xml:space="preserve"> </w:t>
      </w:r>
      <w:r>
        <w:rPr>
          <w:rStyle w:val="VerbatimChar"/>
        </w:rPr>
        <w:t xml:space="preserve">pg_net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http</w:t>
      </w:r>
      <w:r>
        <w:t xml:space="preserve"> </w:t>
      </w:r>
      <w:r>
        <w:t xml:space="preserve">(the database makes outbound HTTP calls to trigger functions/webhooks),</w:t>
      </w:r>
      <w:r>
        <w:t xml:space="preserve"> </w:t>
      </w:r>
      <w:r>
        <w:rPr>
          <w:rStyle w:val="VerbatimChar"/>
        </w:rPr>
        <w:t xml:space="preserve">pgcrypto</w:t>
      </w:r>
      <w:r>
        <w:t xml:space="preserve">,</w:t>
      </w:r>
      <w:r>
        <w:t xml:space="preserve"> </w:t>
      </w:r>
      <w:r>
        <w:rPr>
          <w:rStyle w:val="VerbatimChar"/>
        </w:rPr>
        <w:t xml:space="preserve">supabase_vault</w:t>
      </w:r>
      <w:r>
        <w:t xml:space="preserve"> </w:t>
      </w:r>
      <w:r>
        <w:t xml:space="preserve">(secret storage),</w:t>
      </w:r>
      <w:r>
        <w:t xml:space="preserve"> </w:t>
      </w:r>
      <w:r>
        <w:rPr>
          <w:rStyle w:val="VerbatimChar"/>
        </w:rPr>
        <w:t xml:space="preserve">uuid-ossp</w:t>
      </w:r>
      <w:r>
        <w:t xml:space="preserve">,</w:t>
      </w:r>
      <w:r>
        <w:t xml:space="preserve"> </w:t>
      </w:r>
      <w:r>
        <w:rPr>
          <w:rStyle w:val="VerbatimChar"/>
        </w:rPr>
        <w:t xml:space="preserve">pg_stat_statements</w:t>
      </w:r>
      <w:r>
        <w:t xml:space="preserve">.</w:t>
      </w:r>
      <w:r>
        <w:t xml:space="preserve"> </w:t>
      </w:r>
      <w:r>
        <w:rPr>
          <w:b/>
          <w:bCs/>
        </w:rPr>
        <w:t xml:space="preserve">Note:</w:t>
      </w:r>
      <w:r>
        <w:t xml:space="preserve"> </w:t>
      </w:r>
      <w:r>
        <w:t xml:space="preserve">there is</w:t>
      </w:r>
      <w:r>
        <w:t xml:space="preserve"> </w:t>
      </w: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pgvector</w:t>
      </w:r>
      <w:r>
        <w:rPr>
          <w:b/>
          <w:bCs/>
        </w:rPr>
        <w:t xml:space="preserve">/in-database embedding today</w:t>
      </w:r>
      <w:r>
        <w:t xml:space="preserve"> </w:t>
      </w:r>
      <w:r>
        <w:t xml:space="preserve">— the</w:t>
      </w:r>
      <w:r>
        <w:t xml:space="preserve"> </w:t>
      </w:r>
      <w:r>
        <w:t xml:space="preserve">“knowledge graph / RAG”</w:t>
      </w:r>
      <w:r>
        <w:t xml:space="preserve"> </w:t>
      </w:r>
      <w:r>
        <w:t xml:space="preserve">Brian described lives in the GitHub markdown context system (see 1.5), not as in-DB vectors. In-database vectors are a</w:t>
      </w:r>
      <w:r>
        <w:t xml:space="preserve"> </w:t>
      </w:r>
      <w:r>
        <w:rPr>
          <w:i/>
          <w:iCs/>
        </w:rPr>
        <w:t xml:space="preserve">roadmap</w:t>
      </w:r>
      <w:r>
        <w:t xml:space="preserve"> </w:t>
      </w:r>
      <w:r>
        <w:t xml:space="preserve">capability (relevant to the engine choice — see Part V).</w:t>
      </w:r>
    </w:p>
    <w:bookmarkEnd w:id="10"/>
    <w:bookmarkStart w:id="11" w:name="Xcfb4750e398af7c52236a3fffd96401a106dec7"/>
    <w:p>
      <w:pPr>
        <w:pStyle w:val="Heading3"/>
      </w:pPr>
      <w:r>
        <w:t xml:space="preserve">1.2 The serverless functions (20, Deno/TypeScript)</w:t>
      </w:r>
    </w:p>
    <w:p>
      <w:pPr>
        <w:pStyle w:val="FirstParagraph"/>
      </w:pPr>
      <w:r>
        <w:t xml:space="preserve">CARR runs</w:t>
      </w:r>
      <w:r>
        <w:t xml:space="preserve"> </w:t>
      </w:r>
      <w:r>
        <w:rPr>
          <w:b/>
          <w:bCs/>
        </w:rPr>
        <w:t xml:space="preserve">20 Supabase Edge Functions, all written in Deno/TypeScript</w:t>
      </w:r>
      <w:r>
        <w:t xml:space="preserve"> </w:t>
      </w:r>
      <w:r>
        <w:t xml:space="preserve">(</w:t>
      </w:r>
      <w:r>
        <w:rPr>
          <w:rStyle w:val="VerbatimChar"/>
        </w:rPr>
        <w:t xml:space="preserve">index.ts</w:t>
      </w:r>
      <w:r>
        <w:t xml:space="preserve">, Deno std</w:t>
      </w:r>
      <w:r>
        <w:t xml:space="preserve"> </w:t>
      </w:r>
      <w:r>
        <w:rPr>
          <w:rStyle w:val="VerbatimChar"/>
        </w:rPr>
        <w:t xml:space="preserve">serve</w:t>
      </w:r>
      <w:r>
        <w:t xml:space="preserve">, URL-based imports,</w:t>
      </w:r>
      <w:r>
        <w:t xml:space="preserve"> </w:t>
      </w:r>
      <w:r>
        <w:rPr>
          <w:rStyle w:val="VerbatimChar"/>
        </w:rPr>
        <w:t xml:space="preserve">@supabase/supabase-js</w:t>
      </w:r>
      <w:r>
        <w:t xml:space="preserve">). They are the application’s</w:t>
      </w:r>
      <w:r>
        <w:t xml:space="preserve"> </w:t>
      </w:r>
      <w:r>
        <w:t xml:space="preserve">“back-end verbs.”</w:t>
      </w:r>
      <w:r>
        <w:t xml:space="preserve"> </w:t>
      </w:r>
      <w:r>
        <w:t xml:space="preserve">Grouped: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Generation:</w:t>
      </w:r>
      <w:r>
        <w:t xml:space="preserve"> </w:t>
      </w:r>
      <w:r>
        <w:rPr>
          <w:rStyle w:val="VerbatimChar"/>
        </w:rPr>
        <w:t xml:space="preserve">generate-outreach-message</w:t>
      </w:r>
      <w:r>
        <w:t xml:space="preserve">,</w:t>
      </w:r>
      <w:r>
        <w:t xml:space="preserve"> </w:t>
      </w:r>
      <w:r>
        <w:rPr>
          <w:rStyle w:val="VerbatimChar"/>
        </w:rPr>
        <w:t xml:space="preserve">batch-generate-outreach</w:t>
      </w:r>
      <w:r>
        <w:t xml:space="preserve">,</w:t>
      </w:r>
      <w:r>
        <w:t xml:space="preserve"> </w:t>
      </w:r>
      <w:r>
        <w:rPr>
          <w:rStyle w:val="VerbatimChar"/>
        </w:rPr>
        <w:t xml:space="preserve">generate-content</w:t>
      </w:r>
      <w:r>
        <w:t xml:space="preserve">,</w:t>
      </w:r>
      <w:r>
        <w:t xml:space="preserve"> </w:t>
      </w:r>
      <w:r>
        <w:rPr>
          <w:rStyle w:val="VerbatimChar"/>
        </w:rPr>
        <w:t xml:space="preserve">generate-carr-daily-brief</w:t>
      </w:r>
      <w:r>
        <w:t xml:space="preserve">,</w:t>
      </w:r>
      <w:r>
        <w:t xml:space="preserve"> </w:t>
      </w:r>
      <w:r>
        <w:rPr>
          <w:rStyle w:val="VerbatimChar"/>
        </w:rPr>
        <w:t xml:space="preserve">generate-carr-newsletter</w:t>
      </w:r>
      <w:r>
        <w:t xml:space="preserve"> </w:t>
      </w:r>
      <w:r>
        <w:t xml:space="preserve">(call Anthropic Claude + OpenAI).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EmailBison (email outreach):</w:t>
      </w:r>
      <w:r>
        <w:t xml:space="preserve"> </w:t>
      </w:r>
      <w:r>
        <w:rPr>
          <w:rStyle w:val="VerbatimChar"/>
        </w:rPr>
        <w:t xml:space="preserve">push-to-emailbison</w:t>
      </w:r>
      <w:r>
        <w:t xml:space="preserve">,</w:t>
      </w:r>
      <w:r>
        <w:t xml:space="preserve"> </w:t>
      </w:r>
      <w:r>
        <w:rPr>
          <w:rStyle w:val="VerbatimChar"/>
        </w:rPr>
        <w:t xml:space="preserve">sync-emailbison</w:t>
      </w:r>
      <w:r>
        <w:t xml:space="preserve">,</w:t>
      </w:r>
      <w:r>
        <w:t xml:space="preserve"> </w:t>
      </w:r>
      <w:r>
        <w:rPr>
          <w:rStyle w:val="VerbatimChar"/>
        </w:rPr>
        <w:t xml:space="preserve">emailbison-webhook</w:t>
      </w:r>
      <w:r>
        <w:t xml:space="preserve">,</w:t>
      </w:r>
      <w:r>
        <w:t xml:space="preserve"> </w:t>
      </w:r>
      <w:r>
        <w:rPr>
          <w:rStyle w:val="VerbatimChar"/>
        </w:rPr>
        <w:t xml:space="preserve">emailbison-forward</w:t>
      </w:r>
      <w:r>
        <w:t xml:space="preserve">,</w:t>
      </w:r>
      <w:r>
        <w:t xml:space="preserve"> </w:t>
      </w:r>
      <w:r>
        <w:rPr>
          <w:rStyle w:val="VerbatimChar"/>
        </w:rPr>
        <w:t xml:space="preserve">emailbison-reply</w:t>
      </w:r>
      <w:r>
        <w:t xml:space="preserve">,</w:t>
      </w:r>
      <w:r>
        <w:t xml:space="preserve"> </w:t>
      </w:r>
      <w:r>
        <w:rPr>
          <w:rStyle w:val="VerbatimChar"/>
        </w:rPr>
        <w:t xml:space="preserve">carr-bison-reconcile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HeyReach (LinkedIn outreach):</w:t>
      </w:r>
      <w:r>
        <w:t xml:space="preserve"> </w:t>
      </w:r>
      <w:r>
        <w:rPr>
          <w:rStyle w:val="VerbatimChar"/>
        </w:rPr>
        <w:t xml:space="preserve">create-heyreach-lead-lists</w:t>
      </w:r>
      <w:r>
        <w:t xml:space="preserve">,</w:t>
      </w:r>
      <w:r>
        <w:t xml:space="preserve"> </w:t>
      </w:r>
      <w:r>
        <w:rPr>
          <w:rStyle w:val="VerbatimChar"/>
        </w:rPr>
        <w:t xml:space="preserve">heyreach-webhook</w:t>
      </w:r>
      <w:r>
        <w:t xml:space="preserve">,</w:t>
      </w:r>
      <w:r>
        <w:t xml:space="preserve"> </w:t>
      </w:r>
      <w:r>
        <w:rPr>
          <w:rStyle w:val="VerbatimChar"/>
        </w:rPr>
        <w:t xml:space="preserve">sync-heyreach-accepted</w:t>
      </w:r>
      <w:r>
        <w:t xml:space="preserve">,</w:t>
      </w:r>
      <w:r>
        <w:t xml:space="preserve"> </w:t>
      </w:r>
      <w:r>
        <w:rPr>
          <w:rStyle w:val="VerbatimChar"/>
        </w:rPr>
        <w:t xml:space="preserve">sync-heyreach-overall-stats</w:t>
      </w:r>
      <w:r>
        <w:t xml:space="preserve">,</w:t>
      </w:r>
      <w:r>
        <w:t xml:space="preserve"> </w:t>
      </w:r>
      <w:r>
        <w:rPr>
          <w:rStyle w:val="VerbatimChar"/>
        </w:rPr>
        <w:t xml:space="preserve">send-linkedin-messages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Signals &amp; validation:</w:t>
      </w:r>
      <w:r>
        <w:t xml:space="preserve"> </w:t>
      </w:r>
      <w:r>
        <w:rPr>
          <w:rStyle w:val="VerbatimChar"/>
        </w:rPr>
        <w:t xml:space="preserve">validate-data-flag</w:t>
      </w:r>
      <w:r>
        <w:t xml:space="preserve">,</w:t>
      </w:r>
      <w:r>
        <w:t xml:space="preserve"> </w:t>
      </w:r>
      <w:r>
        <w:rPr>
          <w:rStyle w:val="VerbatimChar"/>
        </w:rPr>
        <w:t xml:space="preserve">validate-rep-note</w:t>
      </w:r>
      <w:r>
        <w:t xml:space="preserve">,</w:t>
      </w:r>
      <w:r>
        <w:t xml:space="preserve"> </w:t>
      </w:r>
      <w:r>
        <w:rPr>
          <w:rStyle w:val="VerbatimChar"/>
        </w:rPr>
        <w:t xml:space="preserve">transcribe-audio</w:t>
      </w:r>
      <w:r>
        <w:t xml:space="preserve">.</w:t>
      </w:r>
    </w:p>
    <w:p>
      <w:pPr>
        <w:pStyle w:val="FirstParagraph"/>
      </w:pPr>
      <w:r>
        <w:t xml:space="preserve">These hold API keys (via Vault secrets), call third-party services, and do the JSON-heavy orchestration that generates messages and syncs campaign state.</w:t>
      </w:r>
    </w:p>
    <w:bookmarkEnd w:id="11"/>
    <w:bookmarkStart w:id="12" w:name="scheduled-automation-21-pg_cron-jobs"/>
    <w:p>
      <w:pPr>
        <w:pStyle w:val="Heading3"/>
      </w:pPr>
      <w:r>
        <w:t xml:space="preserve">1.3 Scheduled automation (21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 </w:t>
      </w:r>
      <w:r>
        <w:t xml:space="preserve">jobs)</w:t>
      </w:r>
    </w:p>
    <w:p>
      <w:pPr>
        <w:pStyle w:val="FirstParagraph"/>
      </w:pPr>
      <w:r>
        <w:rPr>
          <w:b/>
          <w:bCs/>
        </w:rPr>
        <w:t xml:space="preserve">21 active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pg_cron</w:t>
      </w:r>
      <w:r>
        <w:rPr>
          <w:b/>
          <w:bCs/>
        </w:rPr>
        <w:t xml:space="preserve"> </w:t>
      </w:r>
      <w:r>
        <w:rPr>
          <w:b/>
          <w:bCs/>
        </w:rPr>
        <w:t xml:space="preserve">jobs</w:t>
      </w:r>
      <w:r>
        <w:t xml:space="preserve"> </w:t>
      </w:r>
      <w:r>
        <w:t xml:space="preserve">keep the platform live (verified in</w:t>
      </w:r>
      <w:r>
        <w:t xml:space="preserve"> </w:t>
      </w:r>
      <w:r>
        <w:rPr>
          <w:rStyle w:val="VerbatimChar"/>
        </w:rPr>
        <w:t xml:space="preserve">cron.job</w:t>
      </w:r>
      <w:r>
        <w:t xml:space="preserve">). Examples: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High-frequency:</w:t>
      </w:r>
      <w:r>
        <w:t xml:space="preserve"> </w:t>
      </w:r>
      <w:r>
        <w:t xml:space="preserve">HeyReach accepted/replies every 15 min; EmailBison push every 2 h; LinkedIn sends every 2 h.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Medium:</w:t>
      </w:r>
      <w:r>
        <w:t xml:space="preserve"> </w:t>
      </w:r>
      <w:r>
        <w:t xml:space="preserve">news sync every 4 h; HeyReach refresh every 6 h.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Daily/weekly:</w:t>
      </w:r>
      <w:r>
        <w:t xml:space="preserve"> </w:t>
      </w:r>
      <w:r>
        <w:t xml:space="preserve">stats rollups daily; clinical-trials, grants, CGT-accounts syncs weekly; nightly cleanups/purges.</w:t>
      </w:r>
    </w:p>
    <w:p>
      <w:pPr>
        <w:pStyle w:val="BodyText"/>
      </w:pPr>
      <w:r>
        <w:t xml:space="preserve">These call functions and run maintenance directly from the database.</w:t>
      </w:r>
    </w:p>
    <w:bookmarkEnd w:id="12"/>
    <w:bookmarkStart w:id="13" w:name="secrets-auth-frontend"/>
    <w:p>
      <w:pPr>
        <w:pStyle w:val="Heading3"/>
      </w:pPr>
      <w:r>
        <w:t xml:space="preserve">1.4 Secrets, auth, frontend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Secrets:</w:t>
      </w:r>
      <w:r>
        <w:t xml:space="preserve"> </w:t>
      </w:r>
      <w:r>
        <w:t xml:space="preserve">API keys (EmailBison, HeyReach, Anthropic, OpenAI, scrapers) in Supabase Vault.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Auth:</w:t>
      </w:r>
      <w:r>
        <w:t xml:space="preserve"> </w:t>
      </w:r>
      <w:r>
        <w:t xml:space="preserve">Supabase Auth (reps + admins), feeding the RLS identity context.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Frontend:</w:t>
      </w:r>
      <w:r>
        <w:t xml:space="preserve"> </w:t>
      </w:r>
      <w:r>
        <w:t xml:space="preserve">a React/Vite single-page app generated and currently</w:t>
      </w:r>
      <w:r>
        <w:t xml:space="preserve"> </w:t>
      </w:r>
      <w:r>
        <w:rPr>
          <w:b/>
          <w:bCs/>
        </w:rPr>
        <w:t xml:space="preserve">hosted on Lovable</w:t>
      </w:r>
      <w:r>
        <w:t xml:space="preserve"> </w:t>
      </w:r>
      <w:r>
        <w:t xml:space="preserve">with a custom domain.</w:t>
      </w:r>
      <w:r>
        <w:t xml:space="preserve"> </w:t>
      </w:r>
      <w:r>
        <w:rPr>
          <w:rStyle w:val="VerbatimChar"/>
        </w:rPr>
        <w:t xml:space="preserve">supabase-js</w:t>
      </w:r>
      <w:r>
        <w:t xml:space="preserve"> </w:t>
      </w:r>
      <w:r>
        <w:t xml:space="preserve">connects the UI to the data + functions.</w:t>
      </w:r>
    </w:p>
    <w:bookmarkEnd w:id="13"/>
    <w:bookmarkStart w:id="14" w:name="X6f3f728d96e13a76f8637b0b0d9f9bba8745a0b"/>
    <w:p>
      <w:pPr>
        <w:pStyle w:val="Heading3"/>
      </w:pPr>
      <w:r>
        <w:t xml:space="preserve">1.5 The</w:t>
      </w:r>
      <w:r>
        <w:t xml:space="preserve"> </w:t>
      </w:r>
      <w:r>
        <w:t xml:space="preserve">“spine”</w:t>
      </w:r>
      <w:r>
        <w:t xml:space="preserve"> </w:t>
      </w:r>
      <w:r>
        <w:t xml:space="preserve">(BC methodology — kept at the level of</w:t>
      </w:r>
      <w:r>
        <w:t xml:space="preserve"> </w:t>
      </w:r>
      <w:r>
        <w:rPr>
          <w:i/>
          <w:iCs/>
        </w:rPr>
        <w:t xml:space="preserve">what</w:t>
      </w:r>
      <w:r>
        <w:t xml:space="preserve">, not</w:t>
      </w:r>
      <w:r>
        <w:t xml:space="preserve"> </w:t>
      </w:r>
      <w:r>
        <w:rPr>
          <w:i/>
          <w:iCs/>
        </w:rPr>
        <w:t xml:space="preserve">how</w:t>
      </w:r>
      <w:r>
        <w:t xml:space="preserve">)</w:t>
      </w:r>
    </w:p>
    <w:p>
      <w:pPr>
        <w:pStyle w:val="FirstParagraph"/>
      </w:pPr>
      <w:r>
        <w:t xml:space="preserve">Around the app, BC maintains a</w:t>
      </w:r>
      <w:r>
        <w:t xml:space="preserve"> </w:t>
      </w:r>
      <w:r>
        <w:rPr>
          <w:b/>
          <w:bCs/>
        </w:rPr>
        <w:t xml:space="preserve">modular context system</w:t>
      </w:r>
      <w:r>
        <w:t xml:space="preserve">: a GitHub repository of structured markdown (value props, buyer personas, positioning, associations) that acts as the LLM’s</w:t>
      </w:r>
      <w:r>
        <w:t xml:space="preserve"> </w:t>
      </w:r>
      <w:r>
        <w:t xml:space="preserve">“brain.”</w:t>
      </w:r>
      <w:r>
        <w:t xml:space="preserve"> </w:t>
      </w:r>
      <w:r>
        <w:t xml:space="preserve">When the platform generates a message or asset, an Edge Function assembles context (contact + account + signals + positioning) and passes it to the LLM. The news/signal layer scrapes</w:t>
      </w:r>
      <w:r>
        <w:t xml:space="preserve"> </w:t>
      </w:r>
      <w:r>
        <w:rPr>
          <w:b/>
          <w:bCs/>
        </w:rPr>
        <w:t xml:space="preserve">22+ RSS feeds</w:t>
      </w:r>
      <w:r>
        <w:t xml:space="preserve"> </w:t>
      </w:r>
      <w:r>
        <w:t xml:space="preserve">plus public APIs (PubMed, ClinicalTrials.gov, SBIR, NIH grants), scores relevance to CARR, and writes summaries into the database for reps.</w:t>
      </w:r>
      <w:r>
        <w:t xml:space="preserve"> </w:t>
      </w:r>
      <w:r>
        <w:rPr>
          <w:i/>
          <w:iCs/>
        </w:rPr>
        <w:t xml:space="preserve">(BC’s reusable cross-client methodology is described here at a capability level, consistent with the engagement’s IP boundary.)</w:t>
      </w:r>
    </w:p>
    <w:p>
      <w:r>
        <w:pict>
          <v:rect style="width:0;height:1.5pt" o:hralign="center" o:hrstd="t" o:hr="t"/>
        </w:pict>
      </w:r>
    </w:p>
    <w:bookmarkEnd w:id="14"/>
    <w:bookmarkEnd w:id="15"/>
    <w:bookmarkStart w:id="22" w:name="X99a1a7f57b430b330cd964882a77b3342c7a72e"/>
    <w:p>
      <w:pPr>
        <w:pStyle w:val="Heading2"/>
      </w:pPr>
      <w:r>
        <w:t xml:space="preserve">Part II — How the target Azure environment works (orientation)</w:t>
      </w:r>
    </w:p>
    <w:p>
      <w:pPr>
        <w:pStyle w:val="FirstParagraph"/>
      </w:pPr>
      <w:r>
        <w:t xml:space="preserve">For a team moving from a single all-in-one Supabase project, Azure’s enterprise scaffolding is new. The key pieces:</w:t>
      </w:r>
    </w:p>
    <w:bookmarkStart w:id="16" w:name="virtual-environments-azure-landing-zones"/>
    <w:p>
      <w:pPr>
        <w:pStyle w:val="Heading3"/>
      </w:pPr>
      <w:r>
        <w:t xml:space="preserve">2.1</w:t>
      </w:r>
      <w:r>
        <w:t xml:space="preserve"> </w:t>
      </w:r>
      <w:r>
        <w:t xml:space="preserve">“Virtual environments”</w:t>
      </w:r>
      <w:r>
        <w:t xml:space="preserve"> </w:t>
      </w:r>
      <w:r>
        <w:t xml:space="preserve">= Azure Landing Zones</w:t>
      </w:r>
    </w:p>
    <w:p>
      <w:pPr>
        <w:pStyle w:val="FirstParagraph"/>
      </w:pPr>
      <w:r>
        <w:t xml:space="preserve">What was described on the call as a</w:t>
      </w:r>
      <w:r>
        <w:t xml:space="preserve"> </w:t>
      </w:r>
      <w:r>
        <w:t xml:space="preserve">“virtual environment”</w:t>
      </w:r>
      <w:r>
        <w:t xml:space="preserve"> </w:t>
      </w:r>
      <w:r>
        <w:t xml:space="preserve">maps to Microsoft’s</w:t>
      </w:r>
      <w:r>
        <w:t xml:space="preserve"> </w:t>
      </w:r>
      <w:r>
        <w:rPr>
          <w:b/>
          <w:bCs/>
        </w:rPr>
        <w:t xml:space="preserve">Cloud Adoption Framework / Azure Landing Zone</w:t>
      </w:r>
      <w:r>
        <w:t xml:space="preserve"> </w:t>
      </w:r>
      <w:r>
        <w:t xml:space="preserve">model: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Management Groups → Subscriptions → Resource Groups</w:t>
      </w:r>
      <w:r>
        <w:t xml:space="preserve"> </w:t>
      </w:r>
      <w:r>
        <w:t xml:space="preserve">— a governed hierarchy. Landon’s instinct to</w:t>
      </w:r>
      <w:r>
        <w:t xml:space="preserve"> </w:t>
      </w:r>
      <w:r>
        <w:t xml:space="preserve">“create a resource group for CARR”</w:t>
      </w:r>
      <w:r>
        <w:t xml:space="preserve"> </w:t>
      </w:r>
      <w:r>
        <w:t xml:space="preserve">is exactly the right first concrete step.</w:t>
      </w:r>
      <w:r>
        <w:t xml:space="preserve"> </w:t>
      </w:r>
      <w:r>
        <w:t xml:space="preserve">- Dev/Test/Prod are typically isolated (own subscriptions or resource groups) for blast-radius control, with Azure Policy + RBAC + tagging applied centrally.</w:t>
      </w:r>
    </w:p>
    <w:bookmarkEnd w:id="16"/>
    <w:bookmarkStart w:id="17" w:name="the-two-managed-database-engines"/>
    <w:p>
      <w:pPr>
        <w:pStyle w:val="Heading3"/>
      </w:pPr>
      <w:r>
        <w:t xml:space="preserve">2.2 The two managed database engines</w:t>
      </w:r>
    </w:p>
    <w:p>
      <w:pPr>
        <w:pStyle w:val="FirstParagraph"/>
      </w:pPr>
      <w:r>
        <w:t xml:space="preserve">Both are</w:t>
      </w:r>
      <w:r>
        <w:t xml:space="preserve"> </w:t>
      </w:r>
      <w:r>
        <w:rPr>
          <w:b/>
          <w:bCs/>
        </w:rPr>
        <w:t xml:space="preserve">GA</w:t>
      </w:r>
      <w:r>
        <w:t xml:space="preserve">, both fully Microsoft-managed:</w:t>
      </w:r>
      <w:r>
        <w:t xml:space="preserve"> </w:t>
      </w:r>
      <w:r>
        <w:t xml:space="preserve">| |</w:t>
      </w:r>
      <w:r>
        <w:t xml:space="preserve"> </w:t>
      </w:r>
      <w:r>
        <w:rPr>
          <w:b/>
          <w:bCs/>
        </w:rPr>
        <w:t xml:space="preserve">Azure SQL Database</w:t>
      </w:r>
      <w:r>
        <w:t xml:space="preserve"> </w:t>
      </w:r>
      <w:r>
        <w:t xml:space="preserve">|</w:t>
      </w:r>
      <w:r>
        <w:t xml:space="preserve"> </w:t>
      </w:r>
      <w:r>
        <w:rPr>
          <w:b/>
          <w:bCs/>
        </w:rPr>
        <w:t xml:space="preserve">Azure Database for PostgreSQL — Flexible Server</w:t>
      </w:r>
      <w:r>
        <w:t xml:space="preserve"> </w:t>
      </w:r>
      <w:r>
        <w:t xml:space="preserve">|</w:t>
      </w:r>
      <w:r>
        <w:t xml:space="preserve"> </w:t>
      </w:r>
      <w:r>
        <w:t xml:space="preserve">|—|—|—|</w:t>
      </w:r>
      <w:r>
        <w:t xml:space="preserve"> </w:t>
      </w:r>
      <w:r>
        <w:t xml:space="preserve">| Engine | Microsoft SQL Server (T-SQL) | Community PostgreSQL (managed by Microsoft) |</w:t>
      </w:r>
      <w:r>
        <w:t xml:space="preserve"> </w:t>
      </w:r>
      <w:r>
        <w:t xml:space="preserve">| BW standard? | ✅ Yes | ⚠️ Off-standard (but supportable per Venkata) |</w:t>
      </w:r>
      <w:r>
        <w:t xml:space="preserve"> </w:t>
      </w:r>
      <w:r>
        <w:t xml:space="preserve">| Management/security | Managed, Defender, patching, SLA, private networking | Same — managed, Defender, patching, SLA, private networking |</w:t>
      </w:r>
      <w:r>
        <w:t xml:space="preserve"> </w:t>
      </w:r>
      <w:r>
        <w:t xml:space="preserve">| Relationship to CARR today | Different engine → conversion | Same engine → near lift-and-shift |</w:t>
      </w:r>
    </w:p>
    <w:bookmarkEnd w:id="17"/>
    <w:bookmarkStart w:id="18" w:name="compute-for-the-functions-all-ga"/>
    <w:p>
      <w:pPr>
        <w:pStyle w:val="Heading3"/>
      </w:pPr>
      <w:r>
        <w:t xml:space="preserve">2.3 Compute for the functions (all GA)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Azure Functions</w:t>
      </w:r>
      <w:r>
        <w:t xml:space="preserve"> </w:t>
      </w:r>
      <w:r>
        <w:t xml:space="preserve">— serverless FaaS; native</w:t>
      </w:r>
      <w:r>
        <w:t xml:space="preserve"> </w:t>
      </w:r>
      <w:r>
        <w:rPr>
          <w:b/>
          <w:bCs/>
        </w:rPr>
        <w:t xml:space="preserve">Node/TypeScript</w:t>
      </w:r>
      <w:r>
        <w:t xml:space="preserve"> </w:t>
      </w:r>
      <w:r>
        <w:t xml:space="preserve">and Python (not Deno).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Azure Container Apps</w:t>
      </w:r>
      <w:r>
        <w:t xml:space="preserve"> </w:t>
      </w:r>
      <w:r>
        <w:t xml:space="preserve">— serverless containers; can run the</w:t>
      </w:r>
      <w:r>
        <w:t xml:space="preserve"> </w:t>
      </w:r>
      <w:r>
        <w:rPr>
          <w:b/>
          <w:bCs/>
        </w:rPr>
        <w:t xml:space="preserve">Deno</w:t>
      </w:r>
      <w:r>
        <w:t xml:space="preserve"> </w:t>
      </w:r>
      <w:r>
        <w:t xml:space="preserve">runtime as-is in a container.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Azure Static Web Apps</w:t>
      </w:r>
      <w:r>
        <w:t xml:space="preserve"> </w:t>
      </w:r>
      <w:r>
        <w:t xml:space="preserve">— host for the React/Vite frontend (global CDN, managed TLS, GitHub Actions deploy).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Logic Apps / Power Automate</w:t>
      </w:r>
      <w:r>
        <w:t xml:space="preserve"> </w:t>
      </w:r>
      <w:r>
        <w:t xml:space="preserve">— visual low-code; fine for simple triggers, not for CARR’s code-heavy TypeScript logic.</w:t>
      </w:r>
    </w:p>
    <w:bookmarkEnd w:id="18"/>
    <w:bookmarkStart w:id="19" w:name="identity-secrets-networking"/>
    <w:p>
      <w:pPr>
        <w:pStyle w:val="Heading3"/>
      </w:pPr>
      <w:r>
        <w:t xml:space="preserve">2.4 Identity, secrets, networking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Microsoft Entra ID</w:t>
      </w:r>
      <w:r>
        <w:t xml:space="preserve"> </w:t>
      </w:r>
      <w:r>
        <w:t xml:space="preserve">(workforce) +</w:t>
      </w:r>
      <w:r>
        <w:t xml:space="preserve"> </w:t>
      </w:r>
      <w:r>
        <w:rPr>
          <w:b/>
          <w:bCs/>
        </w:rPr>
        <w:t xml:space="preserve">Entra External ID</w:t>
      </w:r>
      <w:r>
        <w:t xml:space="preserve"> </w:t>
      </w:r>
      <w:r>
        <w:t xml:space="preserve">(external reps) replace Supabase Auth.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Azure Key Vault</w:t>
      </w:r>
      <w:r>
        <w:t xml:space="preserve"> </w:t>
      </w:r>
      <w:r>
        <w:t xml:space="preserve">(+ Managed Identity) replaces Supabase Vault.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Private endpoints / VNet</w:t>
      </w:r>
      <w:r>
        <w:t xml:space="preserve"> </w:t>
      </w:r>
      <w:r>
        <w:t xml:space="preserve">— Nancy’s point is correct and important: networking (private vs. public, since Azure SQL is a SaaS endpoint) must be decided</w:t>
      </w:r>
      <w:r>
        <w:t xml:space="preserve"> </w:t>
      </w:r>
      <w:r>
        <w:rPr>
          <w:b/>
          <w:bCs/>
        </w:rPr>
        <w:t xml:space="preserve">up front</w:t>
      </w:r>
      <w:r>
        <w:t xml:space="preserve">; retrofitting later is painful-to-impossible.</w:t>
      </w:r>
    </w:p>
    <w:bookmarkEnd w:id="19"/>
    <w:bookmarkStart w:id="20" w:name="X7c575088585f45aa33efc9f1f0853a6f61ec60d"/>
    <w:p>
      <w:pPr>
        <w:pStyle w:val="Heading3"/>
      </w:pPr>
      <w:r>
        <w:t xml:space="preserve">2.5 Microsoft Foundry + AI services (read the maturity caveat)</w:t>
      </w:r>
    </w:p>
    <w:p>
      <w:pPr>
        <w:pStyle w:val="FirstParagraph"/>
      </w:pPr>
      <w:r>
        <w:rPr>
          <w:b/>
          <w:bCs/>
        </w:rPr>
        <w:t xml:space="preserve">Microsoft Foundry</w:t>
      </w:r>
      <w:r>
        <w:t xml:space="preserve"> </w:t>
      </w:r>
      <w:r>
        <w:t xml:space="preserve">(renamed from Azure AI Foundry;</w:t>
      </w:r>
      <w:r>
        <w:t xml:space="preserve"> </w:t>
      </w:r>
      <w:r>
        <w:t xml:space="preserve">“Azure”</w:t>
      </w:r>
      <w:r>
        <w:t xml:space="preserve"> </w:t>
      </w:r>
      <w:r>
        <w:t xml:space="preserve">prefix dropped Jan 2026) is Microsoft’s AI app/agent platform — model catalog,</w:t>
      </w:r>
      <w:r>
        <w:t xml:space="preserve"> </w:t>
      </w:r>
      <w:r>
        <w:rPr>
          <w:b/>
          <w:bCs/>
        </w:rPr>
        <w:t xml:space="preserve">Agent Service</w:t>
      </w:r>
      <w:r>
        <w:t xml:space="preserve"> </w:t>
      </w:r>
      <w:r>
        <w:t xml:space="preserve">(GA March 16 2026),</w:t>
      </w:r>
      <w:r>
        <w:t xml:space="preserve"> </w:t>
      </w:r>
      <w:r>
        <w:rPr>
          <w:b/>
          <w:bCs/>
        </w:rPr>
        <w:t xml:space="preserve">Model Router</w:t>
      </w:r>
      <w:r>
        <w:t xml:space="preserve">, and</w:t>
      </w:r>
      <w:r>
        <w:t xml:space="preserve"> </w:t>
      </w:r>
      <w:r>
        <w:rPr>
          <w:b/>
          <w:bCs/>
        </w:rPr>
        <w:t xml:space="preserve">Foundry IQ</w:t>
      </w:r>
      <w:r>
        <w:t xml:space="preserve"> </w:t>
      </w:r>
      <w:r>
        <w:t xml:space="preserve">(managed retrieval/RAG). It is where BW’s AI-agent ambitions will live.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Maturity reality (as BW’s own team noted on the call):</w:t>
      </w:r>
      <w:r>
        <w:t xml:space="preserve"> </w:t>
      </w:r>
      <w:r>
        <w:t xml:space="preserve">BW’s Foundry work today is</w:t>
      </w:r>
      <w:r>
        <w:t xml:space="preserve"> </w:t>
      </w:r>
      <w:r>
        <w:rPr>
          <w:b/>
          <w:bCs/>
        </w:rPr>
        <w:t xml:space="preserve">proof-of-concept, not production</w:t>
      </w:r>
      <w:r>
        <w:t xml:space="preserve">,</w:t>
      </w:r>
      <w:r>
        <w:t xml:space="preserve"> </w:t>
      </w:r>
      <w:r>
        <w:t xml:space="preserve">“Microsoft keeps changing things,”</w:t>
      </w:r>
      <w:r>
        <w:t xml:space="preserve"> </w:t>
      </w:r>
      <w:r>
        <w:t xml:space="preserve">and there is</w:t>
      </w:r>
      <w:r>
        <w:t xml:space="preserve"> </w:t>
      </w:r>
      <w:r>
        <w:rPr>
          <w:b/>
          <w:bCs/>
        </w:rPr>
        <w:t xml:space="preserve">no AI architect in seat yet</w:t>
      </w:r>
      <w:r>
        <w:t xml:space="preserve"> </w:t>
      </w:r>
      <w:r>
        <w:t xml:space="preserve">(John Katsapis is hiring; two senior data architects inbound). Many advanced Foundry features (agent memory, agent-to-agent orchestration) are still</w:t>
      </w:r>
      <w:r>
        <w:t xml:space="preserve"> </w:t>
      </w:r>
      <w:r>
        <w:rPr>
          <w:b/>
          <w:bCs/>
        </w:rPr>
        <w:t xml:space="preserve">preview</w:t>
      </w:r>
      <w:r>
        <w:t xml:space="preserve">. This is the main reason a</w:t>
      </w:r>
      <w:r>
        <w:t xml:space="preserve"> </w:t>
      </w:r>
      <w:r>
        <w:t xml:space="preserve">“this-week-to-production”</w:t>
      </w:r>
      <w:r>
        <w:t xml:space="preserve"> </w:t>
      </w:r>
      <w:r>
        <w:t xml:space="preserve">timeline is not realistic — and that is a Microsoft/Foundry-readiness constraint, independent of the database choice.</w:t>
      </w:r>
    </w:p>
    <w:bookmarkEnd w:id="20"/>
    <w:bookmarkStart w:id="21" w:name="Xb278375008bcd461713a5fcef636347ca283f52"/>
    <w:p>
      <w:pPr>
        <w:pStyle w:val="Heading3"/>
      </w:pPr>
      <w:r>
        <w:t xml:space="preserve">2.6 Enterprise LLM data protection (the</w:t>
      </w:r>
      <w:r>
        <w:t xml:space="preserve"> </w:t>
      </w:r>
      <w:r>
        <w:t xml:space="preserve">“no-training”</w:t>
      </w:r>
      <w:r>
        <w:t xml:space="preserve"> </w:t>
      </w:r>
      <w:r>
        <w:t xml:space="preserve">question)</w:t>
      </w:r>
    </w:p>
    <w:p>
      <w:pPr>
        <w:pStyle w:val="FirstParagraph"/>
      </w:pPr>
      <w:r>
        <w:t xml:space="preserve">A concern raised was whether the model trains on CARR’s data.</w:t>
      </w:r>
      <w:r>
        <w:t xml:space="preserve"> </w:t>
      </w:r>
      <w:r>
        <w:rPr>
          <w:b/>
          <w:bCs/>
        </w:rPr>
        <w:t xml:space="preserve">BW already has the answer in-house:</w:t>
      </w:r>
      <w:r>
        <w:t xml:space="preserve"> </w:t>
      </w:r>
      <w:r>
        <w:t xml:space="preserve">Chad confirmed BW holds</w:t>
      </w:r>
      <w:r>
        <w:t xml:space="preserve"> </w:t>
      </w:r>
      <w:r>
        <w:rPr>
          <w:b/>
          <w:bCs/>
        </w:rPr>
        <w:t xml:space="preserve">Enterprise Claude, which enforces data privacy — submitted data is not used to train the public models.</w:t>
      </w:r>
      <w:r>
        <w:t xml:space="preserve"> </w:t>
      </w:r>
      <w:r>
        <w:t xml:space="preserve">The right move is to route CARR’s LLM calls through BW’s Enterprise Claude (and/or Azure OpenAI within BW’s tenant, which carries the same no-training, data-stays-in-tenant commitment). Today CARR’s app touches the LLM in only a few places (e.g., assembling and sending context when a rep generates a follow-up); most processing is data-side. BW’s</w:t>
      </w:r>
      <w:r>
        <w:t xml:space="preserve"> </w:t>
      </w:r>
      <w:r>
        <w:rPr>
          <w:b/>
          <w:bCs/>
        </w:rPr>
        <w:t xml:space="preserve">MCP security-review</w:t>
      </w:r>
      <w:r>
        <w:t xml:space="preserve"> </w:t>
      </w:r>
      <w:r>
        <w:t xml:space="preserve">process should also cover any Model Context Protocol connectors before they’re enabled.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9" w:name="X31f71660505654f02696c437644ec4a1c7dfdcf"/>
    <w:p>
      <w:pPr>
        <w:pStyle w:val="Heading2"/>
      </w:pPr>
      <w:r>
        <w:t xml:space="preserve">Part III — The database engine decision (the core section, neutral)</w:t>
      </w:r>
    </w:p>
    <w:bookmarkStart w:id="23" w:name="clearing-the-misconception"/>
    <w:p>
      <w:pPr>
        <w:pStyle w:val="Heading3"/>
      </w:pPr>
      <w:r>
        <w:t xml:space="preserve">3.1 Clearing the misconception</w:t>
      </w:r>
    </w:p>
    <w:p>
      <w:pPr>
        <w:pStyle w:val="FirstParagraph"/>
      </w:pPr>
      <w:r>
        <w:t xml:space="preserve">On the call, the concern was framed as</w:t>
      </w:r>
      <w:r>
        <w:t xml:space="preserve"> </w:t>
      </w:r>
      <w:r>
        <w:rPr>
          <w:i/>
          <w:iCs/>
        </w:rPr>
        <w:t xml:space="preserve">“Postgres is open source vs. Azure SQL is fully managed with higher security.”</w:t>
      </w:r>
      <w:r>
        <w:t xml:space="preserve"> </w:t>
      </w:r>
      <w:r>
        <w:t xml:space="preserve">That comparison conflates two different things:</w:t>
      </w:r>
      <w:r>
        <w:t xml:space="preserve"> </w:t>
      </w:r>
      <w:r>
        <w:t xml:space="preserve">- CARR runs Postgres on</w:t>
      </w:r>
      <w:r>
        <w:t xml:space="preserve"> </w:t>
      </w:r>
      <w:r>
        <w:rPr>
          <w:b/>
          <w:bCs/>
        </w:rPr>
        <w:t xml:space="preserve">Supabase</w:t>
      </w:r>
      <w:r>
        <w:t xml:space="preserve"> </w:t>
      </w:r>
      <w:r>
        <w:t xml:space="preserve">today (a managed third-party BaaS).</w:t>
      </w:r>
      <w:r>
        <w:t xml:space="preserve"> </w:t>
      </w:r>
      <w:r>
        <w:t xml:space="preserve">- The Azure target would be</w:t>
      </w:r>
      <w:r>
        <w:t xml:space="preserve"> </w:t>
      </w:r>
      <w:r>
        <w:rPr>
          <w:b/>
          <w:bCs/>
        </w:rPr>
        <w:t xml:space="preserve">Azure Database for PostgreSQL — Flexible Server</w:t>
      </w:r>
      <w:r>
        <w:t xml:space="preserve">, a</w:t>
      </w:r>
      <w:r>
        <w:t xml:space="preserve"> </w:t>
      </w:r>
      <w:r>
        <w:rPr>
          <w:b/>
          <w:bCs/>
        </w:rPr>
        <w:t xml:space="preserve">first-party Microsoft-managed PaaS</w:t>
      </w:r>
      <w:r>
        <w:t xml:space="preserve">.</w:t>
      </w:r>
    </w:p>
    <w:p>
      <w:pPr>
        <w:pStyle w:val="BodyText"/>
      </w:pPr>
      <w:r>
        <w:t xml:space="preserve">Choosing Azure Database for PostgreSQL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mean running unmanaged open-source software, and it does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lower the security bar: it is patched, monitored (Defender), backed by SLA, Entra-integrated, and private-network-capable exactly like Azure SQL. The genuine, legitimate differences are:</w:t>
      </w:r>
      <w:r>
        <w:t xml:space="preserve"> </w:t>
      </w:r>
      <w:r>
        <w:rPr>
          <w:b/>
          <w:bCs/>
        </w:rPr>
        <w:t xml:space="preserve">SQL dialect</w:t>
      </w:r>
      <w:r>
        <w:t xml:space="preserve"> </w:t>
      </w:r>
      <w:r>
        <w:t xml:space="preserve">(PL/pgSQL vs. T-SQL),</w:t>
      </w:r>
      <w:r>
        <w:t xml:space="preserve"> </w:t>
      </w:r>
      <w:r>
        <w:rPr>
          <w:b/>
          <w:bCs/>
        </w:rPr>
        <w:t xml:space="preserve">extension ecosystem</w:t>
      </w:r>
      <w:r>
        <w:t xml:space="preserve"> </w:t>
      </w:r>
      <w:r>
        <w:t xml:space="preserve">(e.g.,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,</w:t>
      </w:r>
      <w:r>
        <w:t xml:space="preserve"> </w:t>
      </w:r>
      <w:r>
        <w:rPr>
          <w:rStyle w:val="VerbatimChar"/>
        </w:rPr>
        <w:t xml:space="preserve">pgvector</w:t>
      </w:r>
      <w:r>
        <w:t xml:space="preserve">), and</w:t>
      </w:r>
      <w:r>
        <w:t xml:space="preserve"> </w:t>
      </w:r>
      <w:r>
        <w:rPr>
          <w:b/>
          <w:bCs/>
        </w:rPr>
        <w:t xml:space="preserve">BW’s DBA-team familiarity/standard</w:t>
      </w:r>
      <w:r>
        <w:t xml:space="preserve"> </w:t>
      </w:r>
      <w:r>
        <w:t xml:space="preserve">(Microsoft SQL).</w:t>
      </w:r>
    </w:p>
    <w:p>
      <w:pPr>
        <w:pStyle w:val="BlockText"/>
      </w:pPr>
      <w:r>
        <w:t xml:space="preserve">“Free online converters can translate the SQL”</w:t>
      </w:r>
      <w:r>
        <w:t xml:space="preserve"> </w:t>
      </w:r>
      <w:r>
        <w:t xml:space="preserve">is only partly true: simple table/column DDL converts mechanically, but</w:t>
      </w:r>
      <w:r>
        <w:t xml:space="preserve"> </w:t>
      </w:r>
      <w:r>
        <w:rPr>
          <w:b/>
          <w:bCs/>
        </w:rPr>
        <w:t xml:space="preserve">RLS policies, PL/pgSQL triggers/functions,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pg_cron</w:t>
      </w:r>
      <w:r>
        <w:rPr>
          <w:b/>
          <w:bCs/>
        </w:rPr>
        <w:t xml:space="preserve"> </w:t>
      </w:r>
      <w:r>
        <w:rPr>
          <w:b/>
          <w:bCs/>
        </w:rPr>
        <w:t xml:space="preserve">jobs,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pg_net</w:t>
      </w:r>
      <w:r>
        <w:rPr>
          <w:b/>
          <w:bCs/>
        </w:rPr>
        <w:t xml:space="preserve">/</w:t>
      </w:r>
      <w:r>
        <w:rPr>
          <w:rStyle w:val="VerbatimChar"/>
          <w:b/>
          <w:bCs/>
        </w:rPr>
        <w:t xml:space="preserve">http</w:t>
      </w:r>
      <w:r>
        <w:rPr>
          <w:b/>
          <w:bCs/>
        </w:rPr>
        <w:t xml:space="preserve"> </w:t>
      </w:r>
      <w:r>
        <w:rPr>
          <w:b/>
          <w:bCs/>
        </w:rPr>
        <w:t xml:space="preserve">calls, and (future)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pgvector</w:t>
      </w:r>
      <w:r>
        <w:t xml:space="preserve"> </w:t>
      </w:r>
      <w:r>
        <w:t xml:space="preserve">have</w:t>
      </w:r>
      <w:r>
        <w:t xml:space="preserve"> </w:t>
      </w:r>
      <w:r>
        <w:rPr>
          <w:b/>
          <w:bCs/>
        </w:rPr>
        <w:t xml:space="preserve">no automatic T-SQL equivalent</w:t>
      </w:r>
      <w:r>
        <w:t xml:space="preserve"> </w:t>
      </w:r>
      <w:r>
        <w:t xml:space="preserve">and must be re-engineered by hand. That hand-work is the real cost of Path B.</w:t>
      </w:r>
    </w:p>
    <w:bookmarkEnd w:id="23"/>
    <w:bookmarkStart w:id="24" w:name="Xfb54d3e9c822d6d7a7e3d8aa200ee1b6491449c"/>
    <w:p>
      <w:pPr>
        <w:pStyle w:val="Heading3"/>
      </w:pPr>
      <w:r>
        <w:t xml:space="preserve">3.2 Path A — Azure Database for PostgreSQL (Flexible Server)</w:t>
      </w:r>
    </w:p>
    <w:p>
      <w:pPr>
        <w:pStyle w:val="FirstParagraph"/>
      </w:pPr>
      <w:r>
        <w:rPr>
          <w:b/>
          <w:bCs/>
        </w:rPr>
        <w:t xml:space="preserve">What carries over (near lift-and-shift):</w:t>
      </w:r>
      <w:r>
        <w:t xml:space="preserve"> </w:t>
      </w:r>
      <w:r>
        <w:t xml:space="preserve">- Schema + all migrations (same dialect) — 89 files / ~560 applied steps replay as-is.</w:t>
      </w:r>
      <w:r>
        <w:t xml:space="preserve"> </w:t>
      </w:r>
      <w:r>
        <w:t xml:space="preserve">- RLS policies (same syntax) — only the</w:t>
      </w:r>
      <w:r>
        <w:t xml:space="preserve"> </w:t>
      </w:r>
      <w:r>
        <w:rPr>
          <w:i/>
          <w:iCs/>
        </w:rPr>
        <w:t xml:space="preserve">identity source</w:t>
      </w:r>
      <w:r>
        <w:t xml:space="preserve"> </w:t>
      </w:r>
      <w:r>
        <w:t xml:space="preserve">changes (see Part IV, identity).</w:t>
      </w:r>
      <w:r>
        <w:t xml:space="preserve"> </w:t>
      </w:r>
      <w:r>
        <w:t xml:space="preserve">- PL/pgSQL triggers &amp; functions, including the 300-char guard.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 </w:t>
      </w:r>
      <w:r>
        <w:t xml:space="preserve">(GA on Flexible Server) — the 21 jobs port largely unchanged.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http</w:t>
      </w:r>
      <w:r>
        <w:t xml:space="preserve">/</w:t>
      </w:r>
      <w:r>
        <w:rPr>
          <w:rStyle w:val="VerbatimChar"/>
        </w:rPr>
        <w:t xml:space="preserve">pgcrypto</w:t>
      </w:r>
      <w:r>
        <w:t xml:space="preserve">/</w:t>
      </w:r>
      <w:r>
        <w:rPr>
          <w:rStyle w:val="VerbatimChar"/>
        </w:rPr>
        <w:t xml:space="preserve">uuid-ossp</w:t>
      </w:r>
      <w:r>
        <w:t xml:space="preserve"> </w:t>
      </w:r>
      <w:r>
        <w:t xml:space="preserve">(supported);</w:t>
      </w:r>
      <w:r>
        <w:t xml:space="preserve"> </w:t>
      </w:r>
      <w:r>
        <w:rPr>
          <w:rStyle w:val="VerbatimChar"/>
        </w:rPr>
        <w:t xml:space="preserve">pg_net</w:t>
      </w:r>
      <w:r>
        <w:t xml:space="preserve"> </w:t>
      </w:r>
      <w:r>
        <w:t xml:space="preserve">to verify on the Azure allowlist.</w:t>
      </w:r>
      <w:r>
        <w:t xml:space="preserve"> </w:t>
      </w:r>
      <w:r>
        <w:t xml:space="preserve">- Data (small, &lt;1 GB) via</w:t>
      </w:r>
      <w:r>
        <w:t xml:space="preserve"> </w:t>
      </w:r>
      <w:r>
        <w:rPr>
          <w:rStyle w:val="VerbatimChar"/>
        </w:rPr>
        <w:t xml:space="preserve">pg_dump</w:t>
      </w:r>
      <w:r>
        <w:t xml:space="preserve">/</w:t>
      </w:r>
      <w:r>
        <w:rPr>
          <w:rStyle w:val="VerbatimChar"/>
        </w:rPr>
        <w:t xml:space="preserve">pg_restore</w:t>
      </w:r>
      <w:r>
        <w:t xml:space="preserve"> </w:t>
      </w:r>
      <w:r>
        <w:t xml:space="preserve">or Azure Database Migration Service.</w:t>
      </w:r>
      <w:r>
        <w:t xml:space="preserve"> </w:t>
      </w:r>
      <w:r>
        <w:t xml:space="preserve">- The roadmap</w:t>
      </w:r>
      <w:r>
        <w:t xml:space="preserve"> </w:t>
      </w:r>
      <w:r>
        <w:rPr>
          <w:rStyle w:val="VerbatimChar"/>
          <w:b/>
          <w:bCs/>
        </w:rPr>
        <w:t xml:space="preserve">pgvector</w:t>
      </w:r>
      <w:r>
        <w:t xml:space="preserve"> </w:t>
      </w:r>
      <w:r>
        <w:t xml:space="preserve">path stays native (GA on Flexible Server).</w:t>
      </w:r>
    </w:p>
    <w:p>
      <w:pPr>
        <w:pStyle w:val="BodyText"/>
      </w:pPr>
      <w:r>
        <w:rPr>
          <w:b/>
          <w:bCs/>
        </w:rPr>
        <w:t xml:space="preserve">What still must change (same as Path B):</w:t>
      </w:r>
      <w:r>
        <w:t xml:space="preserve"> </w:t>
      </w:r>
      <w:r>
        <w:t xml:space="preserve">Supabase Auth → Entra; Supabase Vault → Key Vault; the 20 Edge Functions need a compute home (Container Apps or Azure Functions); frontend host → Static Web Apps/internal.</w:t>
      </w:r>
    </w:p>
    <w:p>
      <w:pPr>
        <w:pStyle w:val="BodyText"/>
      </w:pPr>
      <w:r>
        <w:rPr>
          <w:b/>
          <w:bCs/>
        </w:rPr>
        <w:t xml:space="preserve">Net:</w:t>
      </w:r>
      <w:r>
        <w:t xml:space="preserve"> </w:t>
      </w:r>
      <w:r>
        <w:t xml:space="preserve">lowest rebuild risk, fastest to production. Trade-off: off BW’s DBA standard.</w:t>
      </w:r>
    </w:p>
    <w:bookmarkEnd w:id="24"/>
    <w:bookmarkStart w:id="25" w:name="path-b-azure-sql-database-bw-standard"/>
    <w:p>
      <w:pPr>
        <w:pStyle w:val="Heading3"/>
      </w:pPr>
      <w:r>
        <w:t xml:space="preserve">3.3 Path B — Azure SQL Database (BW standard)</w:t>
      </w:r>
    </w:p>
    <w:p>
      <w:pPr>
        <w:pStyle w:val="FirstParagraph"/>
      </w:pPr>
      <w:r>
        <w:rPr>
          <w:b/>
          <w:bCs/>
        </w:rPr>
        <w:t xml:space="preserve">What must be rebuilt:</w:t>
      </w:r>
      <w:r>
        <w:t xml:space="preserve"> </w:t>
      </w:r>
      <w:r>
        <w:t xml:space="preserve">- Every migration re-authored in</w:t>
      </w:r>
      <w:r>
        <w:t xml:space="preserve"> </w:t>
      </w:r>
      <w:r>
        <w:rPr>
          <w:b/>
          <w:bCs/>
        </w:rPr>
        <w:t xml:space="preserve">T-SQL</w:t>
      </w:r>
      <w:r>
        <w:t xml:space="preserve">; data types remapped (</w:t>
      </w:r>
      <w:r>
        <w:rPr>
          <w:rStyle w:val="VerbatimChar"/>
        </w:rPr>
        <w:t xml:space="preserve">JSONB</w:t>
      </w:r>
      <w:r>
        <w:t xml:space="preserve"> </w:t>
      </w:r>
      <w:r>
        <w:t xml:space="preserve">→ native</w:t>
      </w:r>
      <w:r>
        <w:t xml:space="preserve"> </w:t>
      </w:r>
      <w:r>
        <w:rPr>
          <w:rStyle w:val="VerbatimChar"/>
        </w:rPr>
        <w:t xml:space="preserve">JSON</w:t>
      </w:r>
      <w:r>
        <w:t xml:space="preserve">/</w:t>
      </w:r>
      <w:r>
        <w:rPr>
          <w:rStyle w:val="VerbatimChar"/>
        </w:rPr>
        <w:t xml:space="preserve">nvarchar(max)</w:t>
      </w:r>
      <w:r>
        <w:t xml:space="preserve">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RLS</w:t>
      </w:r>
      <w:r>
        <w:t xml:space="preserve"> </w:t>
      </w:r>
      <w:r>
        <w:t xml:space="preserve">re-engineered (Azure SQL supports RLS via security policies/predicate functions — different model).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  <w:b/>
          <w:bCs/>
        </w:rPr>
        <w:t xml:space="preserve">pg_cron</w:t>
      </w:r>
      <w:r>
        <w:rPr>
          <w:b/>
          <w:bCs/>
        </w:rPr>
        <w:t xml:space="preserve"> </w:t>
      </w:r>
      <w:r>
        <w:rPr>
          <w:b/>
          <w:bCs/>
        </w:rPr>
        <w:t xml:space="preserve">(21 jobs)</w:t>
      </w:r>
      <w:r>
        <w:t xml:space="preserve"> </w:t>
      </w:r>
      <w:r>
        <w:t xml:space="preserve">→</w:t>
      </w:r>
      <w:r>
        <w:t xml:space="preserve"> </w:t>
      </w:r>
      <w:r>
        <w:rPr>
          <w:b/>
          <w:bCs/>
        </w:rPr>
        <w:t xml:space="preserve">Elastic Jobs</w:t>
      </w:r>
      <w:r>
        <w:t xml:space="preserve"> </w:t>
      </w:r>
      <w:r>
        <w:t xml:space="preserve">/ Azure Functions Timer triggers (re-implemented + re-tested).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  <w:b/>
          <w:bCs/>
        </w:rPr>
        <w:t xml:space="preserve">pg_net</w:t>
      </w:r>
      <w:r>
        <w:rPr>
          <w:b/>
          <w:bCs/>
        </w:rPr>
        <w:t xml:space="preserve">/</w:t>
      </w:r>
      <w:r>
        <w:rPr>
          <w:rStyle w:val="VerbatimChar"/>
          <w:b/>
          <w:bCs/>
        </w:rPr>
        <w:t xml:space="preserve">http</w:t>
      </w:r>
      <w:r>
        <w:rPr>
          <w:b/>
          <w:bCs/>
        </w:rPr>
        <w:t xml:space="preserve"> </w:t>
      </w:r>
      <w:r>
        <w:rPr>
          <w:b/>
          <w:bCs/>
        </w:rPr>
        <w:t xml:space="preserve">in-DB calls</w:t>
      </w:r>
      <w:r>
        <w:t xml:space="preserve"> </w:t>
      </w:r>
      <w:r>
        <w:t xml:space="preserve">→ no in-database HTTP in Azure SQL; that logic moves to external compute.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PL/pgSQL</w:t>
      </w:r>
      <w:r>
        <w:t xml:space="preserve"> </w:t>
      </w:r>
      <w:r>
        <w:t xml:space="preserve">triggers/functions → T-SQL stored procedures.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Retrieval/RAG roadmap:</w:t>
      </w:r>
      <w:r>
        <w:t xml:space="preserve"> </w:t>
      </w:r>
      <w:r>
        <w:t xml:space="preserve">Azure SQL has</w:t>
      </w:r>
      <w:r>
        <w:t xml:space="preserve"> </w:t>
      </w:r>
      <w:r>
        <w:rPr>
          <w:b/>
          <w:bCs/>
        </w:rPr>
        <w:t xml:space="preserve">no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pgvector</w:t>
      </w:r>
      <w:r>
        <w:rPr>
          <w:b/>
          <w:bCs/>
        </w:rPr>
        <w:t xml:space="preserve"> </w:t>
      </w:r>
      <w:r>
        <w:rPr>
          <w:b/>
          <w:bCs/>
        </w:rPr>
        <w:t xml:space="preserve">equivalent</w:t>
      </w:r>
      <w:r>
        <w:t xml:space="preserve"> </w:t>
      </w:r>
      <w:r>
        <w:t xml:space="preserve">→ vectors/RAG re-home to</w:t>
      </w:r>
      <w:r>
        <w:t xml:space="preserve"> </w:t>
      </w:r>
      <w:r>
        <w:rPr>
          <w:b/>
          <w:bCs/>
        </w:rPr>
        <w:t xml:space="preserve">Azure AI Search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Foundry IQ</w:t>
      </w:r>
      <w:r>
        <w:t xml:space="preserve"> </w:t>
      </w:r>
      <w:r>
        <w:t xml:space="preserve">(a deliberate re-architecture, not a blocker).</w:t>
      </w:r>
      <w:r>
        <w:t xml:space="preserve"> </w:t>
      </w:r>
      <w:r>
        <w:t xml:space="preserve">- The 20 Deno/TS Edge Functions → ported (see Part IV).</w:t>
      </w:r>
    </w:p>
    <w:p>
      <w:pPr>
        <w:pStyle w:val="BodyText"/>
      </w:pPr>
      <w:r>
        <w:rPr>
          <w:b/>
          <w:bCs/>
        </w:rPr>
        <w:t xml:space="preserve">Net:</w:t>
      </w:r>
      <w:r>
        <w:t xml:space="preserve"> </w:t>
      </w:r>
      <w:r>
        <w:t xml:space="preserve">on-standard for BW and fully supportable, but a</w:t>
      </w:r>
      <w:r>
        <w:t xml:space="preserve"> </w:t>
      </w:r>
      <w:r>
        <w:rPr>
          <w:b/>
          <w:bCs/>
        </w:rPr>
        <w:t xml:space="preserve">genuine rebuild</w:t>
      </w:r>
      <w:r>
        <w:t xml:space="preserve"> </w:t>
      </w:r>
      <w:r>
        <w:t xml:space="preserve">that extends the timeline. Brian’s on-call read —</w:t>
      </w:r>
      <w:r>
        <w:t xml:space="preserve"> </w:t>
      </w:r>
      <w:r>
        <w:t xml:space="preserve">“it’s doable, but you’d essentially be rebuilding it”</w:t>
      </w:r>
      <w:r>
        <w:t xml:space="preserve"> </w:t>
      </w:r>
      <w:r>
        <w:t xml:space="preserve">— is accurate.</w:t>
      </w:r>
    </w:p>
    <w:bookmarkEnd w:id="25"/>
    <w:bookmarkStart w:id="26" w:name="X553ac656fe298217cc085353615f055099707d8"/>
    <w:p>
      <w:pPr>
        <w:pStyle w:val="Heading3"/>
      </w:pPr>
      <w:r>
        <w:t xml:space="preserve">3.5 2026 industry context (neutral, for transparency)</w:t>
      </w:r>
    </w:p>
    <w:p>
      <w:pPr>
        <w:pStyle w:val="FirstParagraph"/>
      </w:pPr>
      <w:r>
        <w:t xml:space="preserve">So the team is working from current facts, BC ran an external research sweep (2026-06-27; sources in Appendix C). Two findings matter and they cut in</w:t>
      </w:r>
      <w:r>
        <w:t xml:space="preserve"> </w:t>
      </w:r>
      <w:r>
        <w:rPr>
          <w:i/>
          <w:iCs/>
        </w:rPr>
        <w:t xml:space="preserve">both</w:t>
      </w:r>
      <w:r>
        <w:t xml:space="preserve"> </w:t>
      </w:r>
      <w:r>
        <w:t xml:space="preserve">directions — which is why the decision is genuinely balanced: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PostgreSQL leads developer adoption and is the fastest-rising relational engine.</w:t>
      </w:r>
      <w:r>
        <w:t xml:space="preserve"> </w:t>
      </w:r>
      <w:r>
        <w:t xml:space="preserve">In the</w:t>
      </w:r>
      <w:r>
        <w:t xml:space="preserve"> </w:t>
      </w:r>
      <w:r>
        <w:rPr>
          <w:b/>
          <w:bCs/>
        </w:rPr>
        <w:t xml:space="preserve">Stack Overflow 2025 Developer Survey it was the most-used database at 55.6%</w:t>
      </w:r>
      <w:r>
        <w:t xml:space="preserve"> </w:t>
      </w:r>
      <w:r>
        <w:t xml:space="preserve">(second year running), versus ~27% for SQL Server in the prior year’s survey; DB-Engines shows the two within a few points of each other at the top, with PostgreSQL the faster climber. It also anchors the open AI ecosystem (the</w:t>
      </w:r>
      <w:r>
        <w:t xml:space="preserve"> </w:t>
      </w:r>
      <w:r>
        <w:rPr>
          <w:rStyle w:val="VerbatimChar"/>
        </w:rPr>
        <w:t xml:space="preserve">pgvector</w:t>
      </w:r>
      <w:r>
        <w:t xml:space="preserve"> </w:t>
      </w:r>
      <w:r>
        <w:t xml:space="preserve">extension is a common default for in-database vector/RAG search).</w:t>
      </w:r>
      <w:r>
        <w:t xml:space="preserve"> </w:t>
      </w:r>
      <w:r>
        <w:rPr>
          <w:i/>
          <w:iCs/>
        </w:rPr>
        <w:t xml:space="preserve">This is why Path A is the lower-friction technical option for an AI-forward roadmap.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Azure SQL / SQL Server 2025 has closed most of the</w:t>
      </w:r>
      <w:r>
        <w:rPr>
          <w:b/>
          <w:bCs/>
        </w:rPr>
        <w:t xml:space="preserve"> </w:t>
      </w:r>
      <w:r>
        <w:rPr>
          <w:b/>
          <w:bCs/>
        </w:rPr>
        <w:t xml:space="preserve">“AI gap.”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SQL Server 2025 release (GA 2025-11-18) added a native vector data type, DiskANN-based vector indexing, in-engine external-AI-model management, and GitHub Copilot in SQL Server Management Studio</w:t>
      </w:r>
      <w:r>
        <w:t xml:space="preserve"> </w:t>
      </w:r>
      <w:r>
        <w:t xml:space="preserve">— Microsoft explicitly positions it as</w:t>
      </w:r>
      <w:r>
        <w:t xml:space="preserve"> </w:t>
      </w:r>
      <w:r>
        <w:t xml:space="preserve">“the AI-ready enterprise database.”</w:t>
      </w:r>
      <w:r>
        <w:t xml:space="preserve"> </w:t>
      </w:r>
      <w:r>
        <w:rPr>
          <w:i/>
          <w:iCs/>
        </w:rPr>
        <w:t xml:space="preserve">This means BW’s standard is not an AI dead-end: RAG and vector search are now first-class on Azure SQL, alongside Azure AI Search / Foundry.</w:t>
      </w:r>
    </w:p>
    <w:p>
      <w:pPr>
        <w:pStyle w:val="FirstParagraph"/>
      </w:pPr>
      <w:r>
        <w:rPr>
          <w:b/>
          <w:bCs/>
        </w:rPr>
        <w:t xml:space="preserve">Net, stated plainly:</w:t>
      </w:r>
      <w:r>
        <w:t xml:space="preserve"> </w:t>
      </w:r>
      <w:r>
        <w:t xml:space="preserve">PostgreSQL is where broad developer and open-source AI momentum sits;</w:t>
      </w:r>
      <w:r>
        <w:t xml:space="preserve"> </w:t>
      </w:r>
      <w:r>
        <w:rPr>
          <w:b/>
          <w:bCs/>
        </w:rPr>
        <w:t xml:space="preserve">Azure SQL is a fully capable, enterprise-secure, increasingly AI-ready engine</w:t>
      </w:r>
      <w:r>
        <w:t xml:space="preserve">, and standardizing on it is a reasonable governance choice. The trade-off BW is accepting is a heavier one-time conversion (§3.3) in exchange for fitting its supported standard — not a loss of capability.</w:t>
      </w:r>
    </w:p>
    <w:bookmarkEnd w:id="26"/>
    <w:bookmarkStart w:id="27" w:name="Xc758d9732a82e9114ecf5febc755cd68b6552d6"/>
    <w:p>
      <w:pPr>
        <w:pStyle w:val="Heading3"/>
      </w:pPr>
      <w:r>
        <w:t xml:space="preserve">3.6 How the Azure SQL conversion is de-risked (the encouraging part)</w:t>
      </w:r>
    </w:p>
    <w:p>
      <w:pPr>
        <w:pStyle w:val="FirstParagraph"/>
      </w:pPr>
      <w:r>
        <w:t xml:space="preserve">There is no first-party Microsoft tool that converts PostgreSQL to Azure SQL automatically (SSMA doesn’t take Postgres as a source; DMS moves data, not dialect). That sounds daunting, but the conversion is</w:t>
      </w:r>
      <w:r>
        <w:t xml:space="preserve"> </w:t>
      </w:r>
      <w:r>
        <w:rPr>
          <w:b/>
          <w:bCs/>
        </w:rPr>
        <w:t xml:space="preserve">bounded and tractable</w:t>
      </w:r>
      <w:r>
        <w:t xml:space="preserve"> </w:t>
      </w:r>
      <w:r>
        <w:t xml:space="preserve">with a modern approach BC has scoped in detail: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The dialect knowledge is well-understood.</w:t>
      </w:r>
      <w:r>
        <w:t xml:space="preserve"> </w:t>
      </w:r>
      <w:r>
        <w:t xml:space="preserve">A controlled test across leading AI models (Claude, GPT, Gemini) showed they reliably produce the correct Azure SQL idioms for the hard constructs (security-policy + session-context RLS, set-based triggers, JSON functions, MERGE upserts) with no special prompting — so this is a</w:t>
      </w:r>
      <w:r>
        <w:t xml:space="preserve"> </w:t>
      </w:r>
      <w:r>
        <w:rPr>
          <w:i/>
          <w:iCs/>
        </w:rPr>
        <w:t xml:space="preserve">context-engineering + verification</w:t>
      </w:r>
      <w:r>
        <w:t xml:space="preserve"> </w:t>
      </w:r>
      <w:r>
        <w:t xml:space="preserve">problem, not a</w:t>
      </w:r>
      <w:r>
        <w:t xml:space="preserve"> </w:t>
      </w:r>
      <w:r>
        <w:t xml:space="preserve">“teach the machine T-SQL”</w:t>
      </w:r>
      <w:r>
        <w:t xml:space="preserve"> </w:t>
      </w:r>
      <w:r>
        <w:t xml:space="preserve">problem.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Open tooling handles the mechanical bulk.</w:t>
      </w:r>
      <w:r>
        <w:t xml:space="preserve"> </w:t>
      </w:r>
      <w:r>
        <w:t xml:space="preserve">A mature open-source transpiler (</w:t>
      </w:r>
      <w:r>
        <w:rPr>
          <w:rStyle w:val="VerbatimChar"/>
        </w:rPr>
        <w:t xml:space="preserve">sqlglot</w:t>
      </w:r>
      <w:r>
        <w:t xml:space="preserve">) deterministically converts the large, repetitive layer (queries, views, casts, paging) with no model involvement.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 purpose-built translation step covers the tail.</w:t>
      </w:r>
      <w:r>
        <w:t xml:space="preserve"> </w:t>
      </w:r>
      <w:r>
        <w:t xml:space="preserve">For the procedural code, RLS policies, and triggers that no tool handles, BC can build a small, reviewable translation step with a</w:t>
      </w:r>
      <w:r>
        <w:t xml:space="preserve"> </w:t>
      </w:r>
      <w:r>
        <w:rPr>
          <w:b/>
          <w:bCs/>
        </w:rPr>
        <w:t xml:space="preserve">compile + behavior-parity + RLS verification loop</w:t>
      </w:r>
      <w:r>
        <w:t xml:space="preserve"> </w:t>
      </w:r>
      <w:r>
        <w:t xml:space="preserve">against an Azure SQL target, so every converted object is</w:t>
      </w:r>
      <w:r>
        <w:t xml:space="preserve"> </w:t>
      </w:r>
      <w:r>
        <w:rPr>
          <w:i/>
          <w:iCs/>
        </w:rPr>
        <w:t xml:space="preserve">proven</w:t>
      </w:r>
      <w:r>
        <w:t xml:space="preserve">, not just plausible.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The data move itself is trivial</w:t>
      </w:r>
      <w:r>
        <w:t xml:space="preserve"> </w:t>
      </w:r>
      <w:r>
        <w:t xml:space="preserve">(the dataset is small, &lt;1 GB).</w:t>
      </w:r>
    </w:p>
    <w:p>
      <w:pPr>
        <w:pStyle w:val="FirstParagraph"/>
      </w:pPr>
      <w:r>
        <w:rPr>
          <w:b/>
          <w:bCs/>
        </w:rPr>
        <w:t xml:space="preserve">What this means for BW:</w:t>
      </w:r>
      <w:r>
        <w:t xml:space="preserve"> </w:t>
      </w:r>
      <w:r>
        <w:t xml:space="preserve">the genuinely careful work is</w:t>
      </w:r>
      <w:r>
        <w:t xml:space="preserve"> </w:t>
      </w:r>
      <w:r>
        <w:rPr>
          <w:b/>
          <w:bCs/>
        </w:rPr>
        <w:t xml:space="preserve">verifying behavior equivalence</w:t>
      </w:r>
      <w:r>
        <w:t xml:space="preserve"> </w:t>
      </w:r>
      <w:r>
        <w:t xml:space="preserve">across CARR’s stored logic and security policies (a real QA effort worth budgeting for), plus the Azure-side foundations everyone needs regardless of engine — identity (Entra), the API/security layer, networking, and standing up the functions. The conversion of the database code is real work, but it is a known, plannable quantity, not an open-ended unknown.</w:t>
      </w:r>
    </w:p>
    <w:bookmarkEnd w:id="27"/>
    <w:bookmarkStart w:id="28" w:name="side-by-side"/>
    <w:p>
      <w:pPr>
        <w:pStyle w:val="Heading3"/>
      </w:pPr>
      <w:r>
        <w:t xml:space="preserve">3.4 Side-by-side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Path A (Azure DB for PostgreSQL)</w:t>
            </w:r>
          </w:p>
        </w:tc>
        <w:tc>
          <w:tcPr/>
          <w:p>
            <w:pPr>
              <w:pStyle w:val="Compact"/>
            </w:pPr>
            <w:r>
              <w:t xml:space="preserve">Path B (Azure SQL)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Schema + migrations (89 files / ~560 applied)</w:t>
            </w:r>
          </w:p>
        </w:tc>
        <w:tc>
          <w:tcPr/>
          <w:p>
            <w:pPr>
              <w:pStyle w:val="Compact"/>
            </w:pPr>
            <w:r>
              <w:t xml:space="preserve">Lift-and-shift (same dialect)</w:t>
            </w:r>
          </w:p>
        </w:tc>
        <w:tc>
          <w:tcPr/>
          <w:p>
            <w:pPr>
              <w:pStyle w:val="Compact"/>
            </w:pPr>
            <w:r>
              <w:t xml:space="preserve">Re-author in T-SQL</w:t>
            </w:r>
          </w:p>
        </w:tc>
      </w:tr>
      <w:tr>
        <w:tc>
          <w:tcPr/>
          <w:p>
            <w:pPr>
              <w:pStyle w:val="Compact"/>
            </w:pPr>
            <w:r>
              <w:t xml:space="preserve">RLS policies</w:t>
            </w:r>
          </w:p>
        </w:tc>
        <w:tc>
          <w:tcPr/>
          <w:p>
            <w:pPr>
              <w:pStyle w:val="Compact"/>
            </w:pPr>
            <w:r>
              <w:t xml:space="preserve">Port as-is (swap identity source)</w:t>
            </w:r>
          </w:p>
        </w:tc>
        <w:tc>
          <w:tcPr/>
          <w:p>
            <w:pPr>
              <w:pStyle w:val="Compact"/>
            </w:pPr>
            <w:r>
              <w:t xml:space="preserve">Re-engineer (different model)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PL/pgSQL triggers/functions</w:t>
            </w:r>
          </w:p>
        </w:tc>
        <w:tc>
          <w:tcPr/>
          <w:p>
            <w:pPr>
              <w:pStyle w:val="Compact"/>
            </w:pPr>
            <w:r>
              <w:t xml:space="preserve">Port as-is</w:t>
            </w:r>
          </w:p>
        </w:tc>
        <w:tc>
          <w:tcPr/>
          <w:p>
            <w:pPr>
              <w:pStyle w:val="Compact"/>
            </w:pPr>
            <w:r>
              <w:t xml:space="preserve">Rewrite as T-SQL procs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  <w:r>
              <w:t xml:space="preserve"> </w:t>
            </w:r>
            <w:r>
              <w:rPr>
                <w:rStyle w:val="VerbatimChar"/>
              </w:rPr>
              <w:t xml:space="preserve">pg_cron</w:t>
            </w:r>
            <w:r>
              <w:t xml:space="preserve"> </w:t>
            </w:r>
            <w:r>
              <w:t xml:space="preserve">jobs</w:t>
            </w:r>
          </w:p>
        </w:tc>
        <w:tc>
          <w:tcPr/>
          <w:p>
            <w:pPr>
              <w:pStyle w:val="Compact"/>
            </w:pPr>
            <w:r>
              <w:t xml:space="preserve">Keep</w:t>
            </w:r>
            <w:r>
              <w:t xml:space="preserve"> </w:t>
            </w:r>
            <w:r>
              <w:rPr>
                <w:rStyle w:val="VerbatimChar"/>
              </w:rPr>
              <w:t xml:space="preserve">pg_cron</w:t>
            </w:r>
          </w:p>
        </w:tc>
        <w:tc>
          <w:tcPr/>
          <w:p>
            <w:pPr>
              <w:pStyle w:val="Compact"/>
            </w:pPr>
            <w:r>
              <w:t xml:space="preserve">Rebuild on Elastic Jobs / Timer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pg_net</w:t>
            </w:r>
            <w:r>
              <w:t xml:space="preserve">/</w:t>
            </w:r>
            <w:r>
              <w:rPr>
                <w:rStyle w:val="VerbatimChar"/>
              </w:rPr>
              <w:t xml:space="preserve">http</w:t>
            </w:r>
            <w:r>
              <w:t xml:space="preserve"> </w:t>
            </w:r>
            <w:r>
              <w:t xml:space="preserve">in-DB calls</w:t>
            </w:r>
          </w:p>
        </w:tc>
        <w:tc>
          <w:tcPr/>
          <w:p>
            <w:pPr>
              <w:pStyle w:val="Compact"/>
            </w:pPr>
            <w:r>
              <w:t xml:space="preserve">Supported (verify</w:t>
            </w:r>
            <w:r>
              <w:t xml:space="preserve"> </w:t>
            </w:r>
            <w:r>
              <w:rPr>
                <w:rStyle w:val="VerbatimChar"/>
              </w:rPr>
              <w:t xml:space="preserve">pg_net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Move to external compute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RAG /</w:t>
            </w:r>
            <w:r>
              <w:t xml:space="preserve"> </w:t>
            </w:r>
            <w:r>
              <w:rPr>
                <w:rStyle w:val="VerbatimChar"/>
              </w:rPr>
              <w:t xml:space="preserve">pgvector</w:t>
            </w:r>
            <w:r>
              <w:t xml:space="preserve"> </w:t>
            </w:r>
            <w:r>
              <w:t xml:space="preserve">(roadmap)</w:t>
            </w:r>
          </w:p>
        </w:tc>
        <w:tc>
          <w:tcPr/>
          <w:p>
            <w:pPr>
              <w:pStyle w:val="Compact"/>
            </w:pPr>
            <w:r>
              <w:t xml:space="preserve">Native</w:t>
            </w:r>
          </w:p>
        </w:tc>
        <w:tc>
          <w:tcPr/>
          <w:p>
            <w:pPr>
              <w:pStyle w:val="Compact"/>
            </w:pPr>
            <w:r>
              <w:t xml:space="preserve">Azure AI Search / Foundry IQ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 Edge Functions (Deno/TS)</w:t>
            </w:r>
          </w:p>
        </w:tc>
        <w:tc>
          <w:tcPr/>
          <w:p>
            <w:pPr>
              <w:pStyle w:val="Compact"/>
            </w:pPr>
            <w:r>
              <w:t xml:space="preserve">Re-home (same for both)</w:t>
            </w:r>
          </w:p>
        </w:tc>
        <w:tc>
          <w:tcPr/>
          <w:p>
            <w:pPr>
              <w:pStyle w:val="Compact"/>
            </w:pPr>
            <w:r>
              <w:t xml:space="preserve">Re-home (same for both)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Auth, Vault, frontend host</w:t>
            </w:r>
          </w:p>
        </w:tc>
        <w:tc>
          <w:tcPr/>
          <w:p>
            <w:pPr>
              <w:pStyle w:val="Compact"/>
            </w:pPr>
            <w:r>
              <w:t xml:space="preserve">Change (same for both)</w:t>
            </w:r>
          </w:p>
        </w:tc>
        <w:tc>
          <w:tcPr/>
          <w:p>
            <w:pPr>
              <w:pStyle w:val="Compact"/>
            </w:pPr>
            <w:r>
              <w:t xml:space="preserve">Change (same for both)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migration (~&lt;1 GB)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pg_dump</w:t>
            </w:r>
            <w:r>
              <w:t xml:space="preserve">/restore or DMS</w:t>
            </w:r>
          </w:p>
        </w:tc>
        <w:tc>
          <w:tcPr/>
          <w:p>
            <w:pPr>
              <w:pStyle w:val="Compact"/>
            </w:pPr>
            <w:r>
              <w:t xml:space="preserve">ETL into new schema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BW DBA standard</w:t>
            </w:r>
          </w:p>
        </w:tc>
        <w:tc>
          <w:tcPr/>
          <w:p>
            <w:pPr>
              <w:pStyle w:val="Compact"/>
            </w:pPr>
            <w:r>
              <w:t xml:space="preserve">Off-standard</w:t>
            </w:r>
          </w:p>
        </w:tc>
        <w:tc>
          <w:tcPr/>
          <w:p>
            <w:pPr>
              <w:pStyle w:val="Compact"/>
            </w:pPr>
            <w:r>
              <w:t xml:space="preserve">On-standard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Relative timeline</w:t>
            </w:r>
          </w:p>
        </w:tc>
        <w:tc>
          <w:tcPr/>
          <w:p>
            <w:pPr>
              <w:pStyle w:val="Compact"/>
            </w:pPr>
            <w:r>
              <w:t xml:space="preserve">Shorter</w:t>
            </w:r>
          </w:p>
        </w:tc>
        <w:tc>
          <w:tcPr/>
          <w:p>
            <w:pPr>
              <w:pStyle w:val="Compact"/>
            </w:pPr>
            <w:r>
              <w:t xml:space="preserve">Longer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End w:id="29"/>
    <w:bookmarkStart w:id="34" w:name="X754479358ad7b038b840f39d20f7d896099843c"/>
    <w:p>
      <w:pPr>
        <w:pStyle w:val="Heading2"/>
      </w:pPr>
      <w:r>
        <w:t xml:space="preserve">Part IV — Code-level gates (the short-term holdups)</w:t>
      </w:r>
    </w:p>
    <w:bookmarkStart w:id="30" w:name="Xf3eb811e9eea87d9cdc09998939bb44250558aa"/>
    <w:p>
      <w:pPr>
        <w:pStyle w:val="Heading3"/>
      </w:pPr>
      <w:r>
        <w:t xml:space="preserve">4.1 Edge Functions → Azure compute (correct the language fact first)</w:t>
      </w:r>
    </w:p>
    <w:p>
      <w:pPr>
        <w:pStyle w:val="FirstParagraph"/>
      </w:pPr>
      <w:r>
        <w:t xml:space="preserve">The 20 functions are</w:t>
      </w:r>
      <w:r>
        <w:t xml:space="preserve"> </w:t>
      </w:r>
      <w:r>
        <w:rPr>
          <w:b/>
          <w:bCs/>
        </w:rPr>
        <w:t xml:space="preserve">Deno/TypeScript</w:t>
      </w:r>
      <w:r>
        <w:t xml:space="preserve">, not Python. That matters: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Azure Functions</w:t>
      </w:r>
      <w:r>
        <w:t xml:space="preserve"> </w:t>
      </w:r>
      <w:r>
        <w:t xml:space="preserve">runs</w:t>
      </w:r>
      <w:r>
        <w:t xml:space="preserve"> </w:t>
      </w:r>
      <w:r>
        <w:rPr>
          <w:b/>
          <w:bCs/>
        </w:rPr>
        <w:t xml:space="preserve">Node/TypeScript</w:t>
      </w:r>
      <w:r>
        <w:t xml:space="preserve"> </w:t>
      </w:r>
      <w:r>
        <w:t xml:space="preserve">and Python natively —</w:t>
      </w:r>
      <w:r>
        <w:t xml:space="preserve"> </w:t>
      </w:r>
      <w:r>
        <w:rPr>
          <w:b/>
          <w:bCs/>
        </w:rPr>
        <w:t xml:space="preserve">not Deno</w:t>
      </w:r>
      <w:r>
        <w:t xml:space="preserve">. So the Deno code needs</w:t>
      </w:r>
      <w:r>
        <w:t xml:space="preserve"> </w:t>
      </w:r>
      <w:r>
        <w:rPr>
          <w:b/>
          <w:bCs/>
        </w:rPr>
        <w:t xml:space="preserve">adaptation to Node</w:t>
      </w:r>
      <w:r>
        <w:t xml:space="preserve"> </w:t>
      </w:r>
      <w:r>
        <w:t xml:space="preserve">(swap Deno std</w:t>
      </w:r>
      <w:r>
        <w:t xml:space="preserve"> </w:t>
      </w:r>
      <w:r>
        <w:rPr>
          <w:rStyle w:val="VerbatimChar"/>
        </w:rPr>
        <w:t xml:space="preserve">serve</w:t>
      </w:r>
      <w:r>
        <w:t xml:space="preserve">/URL imports for Node + npm,</w:t>
      </w:r>
      <w:r>
        <w:t xml:space="preserve"> </w:t>
      </w:r>
      <w:r>
        <w:rPr>
          <w:rStyle w:val="VerbatimChar"/>
        </w:rPr>
        <w:t xml:space="preserve">Deno.env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process.env</w:t>
      </w:r>
      <w:r>
        <w:t xml:space="preserve">),</w:t>
      </w:r>
      <w:r>
        <w:t xml:space="preserve"> </w:t>
      </w:r>
      <w:r>
        <w:rPr>
          <w:b/>
          <w:bCs/>
        </w:rPr>
        <w:t xml:space="preserve">or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Azure Container Apps</w:t>
      </w:r>
      <w:r>
        <w:t xml:space="preserve"> </w:t>
      </w:r>
      <w:r>
        <w:t xml:space="preserve">can run the</w:t>
      </w:r>
      <w:r>
        <w:t xml:space="preserve"> </w:t>
      </w:r>
      <w:r>
        <w:rPr>
          <w:b/>
          <w:bCs/>
        </w:rPr>
        <w:t xml:space="preserve">Deno runtime unchanged</w:t>
      </w:r>
      <w:r>
        <w:t xml:space="preserve"> </w:t>
      </w:r>
      <w:r>
        <w:t xml:space="preserve">inside a container — lower code-change risk.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Recommended proof step (matches the team’s agreed milestone):</w:t>
      </w:r>
      <w:r>
        <w:t xml:space="preserve"> </w:t>
      </w:r>
      <w:r>
        <w:t xml:space="preserve">port</w:t>
      </w:r>
      <w:r>
        <w:t xml:space="preserve"> </w:t>
      </w:r>
      <w:r>
        <w:rPr>
          <w:b/>
          <w:bCs/>
        </w:rPr>
        <w:t xml:space="preserve">one</w:t>
      </w:r>
      <w:r>
        <w:t xml:space="preserve"> </w:t>
      </w:r>
      <w:r>
        <w:t xml:space="preserve">function end-to-end first (e.g.,</w:t>
      </w:r>
      <w:r>
        <w:t xml:space="preserve"> </w:t>
      </w:r>
      <w:r>
        <w:rPr>
          <w:rStyle w:val="VerbatimChar"/>
        </w:rPr>
        <w:t xml:space="preserve">generate-outreach-message</w:t>
      </w:r>
      <w:r>
        <w:t xml:space="preserve">) to measure real effort before committing the other 19. This is true on either DB path.</w:t>
      </w:r>
      <w:r>
        <w:t xml:space="preserve"> </w:t>
      </w:r>
      <w:r>
        <w:t xml:space="preserve">- Logic Apps/Power Automate are not appropriate for this logic.</w:t>
      </w:r>
    </w:p>
    <w:bookmarkEnd w:id="30"/>
    <w:bookmarkStart w:id="31" w:name="scheduled-jobs-21-the-right-analog"/>
    <w:p>
      <w:pPr>
        <w:pStyle w:val="Heading3"/>
      </w:pPr>
      <w:r>
        <w:t xml:space="preserve">4.2 Scheduled jobs (21) → the right analog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Path A:</w:t>
      </w:r>
      <w:r>
        <w:t xml:space="preserve"> </w:t>
      </w:r>
      <w:r>
        <w:t xml:space="preserve">keep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 </w:t>
      </w:r>
      <w:r>
        <w:t xml:space="preserve">— minimal change.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Path B:</w:t>
      </w:r>
      <w:r>
        <w:t xml:space="preserve"> </w:t>
      </w:r>
      <w:r>
        <w:t xml:space="preserve">re-implement on</w:t>
      </w:r>
      <w:r>
        <w:t xml:space="preserve"> </w:t>
      </w:r>
      <w:r>
        <w:rPr>
          <w:b/>
          <w:bCs/>
        </w:rPr>
        <w:t xml:space="preserve">Azure Functions Timer triggers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Elastic Jobs</w:t>
      </w:r>
      <w:r>
        <w:t xml:space="preserve">. Watch the high-frequency ones (15-min HeyReach sync/replies; 2-hourly sends) — they need reliable sub-hourly scheduling.</w:t>
      </w:r>
    </w:p>
    <w:bookmarkEnd w:id="31"/>
    <w:bookmarkStart w:id="32" w:name="identity-rls-rework-either-path"/>
    <w:p>
      <w:pPr>
        <w:pStyle w:val="Heading3"/>
      </w:pPr>
      <w:r>
        <w:t xml:space="preserve">4.3 Identity / RLS rework (either path)</w:t>
      </w:r>
    </w:p>
    <w:p>
      <w:pPr>
        <w:pStyle w:val="Compact"/>
        <w:numPr>
          <w:ilvl w:val="0"/>
          <w:numId w:val="1011"/>
        </w:numPr>
      </w:pPr>
      <w:r>
        <w:t xml:space="preserve">Supabase Auth →</w:t>
      </w:r>
      <w:r>
        <w:t xml:space="preserve"> </w:t>
      </w:r>
      <w:r>
        <w:rPr>
          <w:b/>
          <w:bCs/>
        </w:rPr>
        <w:t xml:space="preserve">Entra ID</w:t>
      </w:r>
      <w:r>
        <w:t xml:space="preserve"> </w:t>
      </w:r>
      <w:r>
        <w:t xml:space="preserve">(internal) +</w:t>
      </w:r>
      <w:r>
        <w:t xml:space="preserve"> </w:t>
      </w:r>
      <w:r>
        <w:rPr>
          <w:b/>
          <w:bCs/>
        </w:rPr>
        <w:t xml:space="preserve">Entra External ID</w:t>
      </w:r>
      <w:r>
        <w:t xml:space="preserve"> </w:t>
      </w:r>
      <w:r>
        <w:t xml:space="preserve">(external reps; B2B-guest vs. CIAM is an open sub-decision).</w:t>
      </w:r>
    </w:p>
    <w:p>
      <w:pPr>
        <w:pStyle w:val="Compact"/>
        <w:numPr>
          <w:ilvl w:val="0"/>
          <w:numId w:val="1011"/>
        </w:numPr>
      </w:pPr>
      <w:r>
        <w:t xml:space="preserve">The app no longer gets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 </w:t>
      </w:r>
      <w:r>
        <w:t xml:space="preserve">automatically. Pattern: an API layer validates the Entra token and injects the user id into the DB session (</w:t>
      </w:r>
      <w:r>
        <w:rPr>
          <w:rStyle w:val="VerbatimChar"/>
        </w:rPr>
        <w:t xml:space="preserve">SET app.user_id = '&lt;entra-oid&gt;'</w:t>
      </w:r>
      <w:r>
        <w:t xml:space="preserve">); RLS policies read that session value. The frontend swaps</w:t>
      </w:r>
      <w:r>
        <w:t xml:space="preserve"> </w:t>
      </w:r>
      <w:r>
        <w:rPr>
          <w:rStyle w:val="VerbatimChar"/>
        </w:rPr>
        <w:t xml:space="preserve">supabase-js</w:t>
      </w:r>
      <w:r>
        <w:t xml:space="preserve"> </w:t>
      </w:r>
      <w:r>
        <w:t xml:space="preserve">auth for</w:t>
      </w:r>
      <w:r>
        <w:t xml:space="preserve"> </w:t>
      </w:r>
      <w:r>
        <w:rPr>
          <w:b/>
          <w:bCs/>
        </w:rPr>
        <w:t xml:space="preserve">MSAL</w:t>
      </w:r>
      <w:r>
        <w:t xml:space="preserve">.</w:t>
      </w:r>
    </w:p>
    <w:bookmarkEnd w:id="32"/>
    <w:bookmarkStart w:id="33" w:name="hosting"/>
    <w:p>
      <w:pPr>
        <w:pStyle w:val="Heading3"/>
      </w:pPr>
      <w:r>
        <w:t xml:space="preserve">4.4 Hosting</w:t>
      </w:r>
    </w:p>
    <w:p>
      <w:pPr>
        <w:pStyle w:val="Compact"/>
        <w:numPr>
          <w:ilvl w:val="0"/>
          <w:numId w:val="1012"/>
        </w:numPr>
      </w:pPr>
      <w:r>
        <w:t xml:space="preserve">Move the React/Vite app off Lovable to</w:t>
      </w:r>
      <w:r>
        <w:t xml:space="preserve"> </w:t>
      </w:r>
      <w:r>
        <w:rPr>
          <w:b/>
          <w:bCs/>
        </w:rPr>
        <w:t xml:space="preserve">Azure Static Web Apps</w:t>
      </w:r>
      <w:r>
        <w:t xml:space="preserve"> </w:t>
      </w:r>
      <w:r>
        <w:t xml:space="preserve">(or an internal host).</w:t>
      </w:r>
      <w:r>
        <w:t xml:space="preserve"> </w:t>
      </w:r>
      <w:r>
        <w:rPr>
          <w:b/>
          <w:bCs/>
        </w:rPr>
        <w:t xml:space="preserve">Keep Lovable as the UI builder</w:t>
      </w:r>
      <w:r>
        <w:t xml:space="preserve"> </w:t>
      </w:r>
      <w:r>
        <w:t xml:space="preserve">via GitHub sync if CARR wants to retain rapid iteration — no need to rebuild the UI in Power Apps.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X30a2d22ad9cb098410411b1c89ac5ac064e28b4"/>
    <w:p>
      <w:pPr>
        <w:pStyle w:val="Heading2"/>
      </w:pPr>
      <w:r>
        <w:t xml:space="preserve">Part V — Does the AI / interface build work the same on Azure SQL?</w:t>
      </w:r>
    </w:p>
    <w:p>
      <w:pPr>
        <w:pStyle w:val="FirstParagraph"/>
      </w:pPr>
      <w:r>
        <w:t xml:space="preserve">Honest answer:</w:t>
      </w:r>
      <w:r>
        <w:t xml:space="preserve"> </w:t>
      </w:r>
      <w:r>
        <w:rPr>
          <w:b/>
          <w:bCs/>
        </w:rPr>
        <w:t xml:space="preserve">mostly yes for the app; the AI-retrieval roadmap is where the engine choice bites.</w:t>
      </w:r>
      <w:r>
        <w:t xml:space="preserve"> </w:t>
      </w:r>
      <w:r>
        <w:t xml:space="preserve">- The CRUD app, campaigns, reps’ workflow, message generation — all work on either engine (the generation calls hit Claude/OpenAI regardless of DB).</w:t>
      </w:r>
      <w:r>
        <w:t xml:space="preserve"> </w:t>
      </w:r>
      <w:r>
        <w:t xml:space="preserve">- The part most coupled to Postgres is the</w:t>
      </w:r>
      <w:r>
        <w:t xml:space="preserve"> </w:t>
      </w:r>
      <w:r>
        <w:rPr>
          <w:b/>
          <w:bCs/>
        </w:rPr>
        <w:t xml:space="preserve">future retrieval/embedding layer</w:t>
      </w:r>
      <w:r>
        <w:t xml:space="preserve"> </w:t>
      </w:r>
      <w:r>
        <w:t xml:space="preserve">(RAG). Today CARR has</w:t>
      </w:r>
      <w:r>
        <w:t xml:space="preserve"> </w:t>
      </w:r>
      <w:r>
        <w:rPr>
          <w:b/>
          <w:bCs/>
        </w:rPr>
        <w:t xml:space="preserve">no in-DB vectors</w:t>
      </w:r>
      <w:r>
        <w:t xml:space="preserve"> </w:t>
      </w:r>
      <w:r>
        <w:t xml:space="preserve">— the</w:t>
      </w:r>
      <w:r>
        <w:t xml:space="preserve"> </w:t>
      </w:r>
      <w:r>
        <w:t xml:space="preserve">“knowledge”</w:t>
      </w:r>
      <w:r>
        <w:t xml:space="preserve"> </w:t>
      </w:r>
      <w:r>
        <w:t xml:space="preserve">lives in the GitHub markdown spine. As that matures into true RAG: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On Path A:</w:t>
      </w:r>
      <w:r>
        <w:t xml:space="preserve"> </w:t>
      </w:r>
      <w:r>
        <w:t xml:space="preserve">add</w:t>
      </w:r>
      <w:r>
        <w:t xml:space="preserve"> </w:t>
      </w:r>
      <w:r>
        <w:rPr>
          <w:rStyle w:val="VerbatimChar"/>
        </w:rPr>
        <w:t xml:space="preserve">pgvector</w:t>
      </w:r>
      <w:r>
        <w:t xml:space="preserve"> </w:t>
      </w:r>
      <w:r>
        <w:t xml:space="preserve">in the same database — simplest, co-located with the data.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On Path B:</w:t>
      </w:r>
      <w:r>
        <w:t xml:space="preserve"> </w:t>
      </w:r>
      <w:r>
        <w:t xml:space="preserve">retrieval re-homes to</w:t>
      </w:r>
      <w:r>
        <w:t xml:space="preserve"> </w:t>
      </w:r>
      <w:r>
        <w:rPr>
          <w:b/>
          <w:bCs/>
        </w:rPr>
        <w:t xml:space="preserve">Azure AI Search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Foundry IQ</w:t>
      </w:r>
      <w:r>
        <w:t xml:space="preserve"> </w:t>
      </w:r>
      <w:r>
        <w:t xml:space="preserve">— a capable, Microsoft-native pattern, but a separate system to stand up and sync.</w:t>
      </w:r>
      <w:r>
        <w:t xml:space="preserve"> </w:t>
      </w:r>
      <w:r>
        <w:t xml:space="preserve">- For the broader agent/interface roadmap Colby and Cam described,</w:t>
      </w:r>
      <w:r>
        <w:t xml:space="preserve"> </w:t>
      </w:r>
      <w:r>
        <w:rPr>
          <w:b/>
          <w:bCs/>
        </w:rPr>
        <w:t xml:space="preserve">both paths reach the destination</w:t>
      </w:r>
      <w:r>
        <w:t xml:space="preserve">; Path A keeps more of it in one place, Path B aligns with BW’s AI-on-Foundry direction. Neither forecloses the vision.</w:t>
      </w:r>
    </w:p>
    <w:p>
      <w:r>
        <w:pict>
          <v:rect style="width:0;height:1.5pt" o:hralign="center" o:hrstd="t" o:hr="t"/>
        </w:pict>
      </w:r>
    </w:p>
    <w:bookmarkEnd w:id="35"/>
    <w:bookmarkStart w:id="36" w:name="X2054f4414050dc301b27b9947bf6e7e19e49f73"/>
    <w:p>
      <w:pPr>
        <w:pStyle w:val="Heading2"/>
      </w:pPr>
      <w:r>
        <w:t xml:space="preserve">Part VI — Safety, security &amp; the model-training opt-out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No-training / data privacy:</w:t>
      </w:r>
      <w:r>
        <w:t xml:space="preserve"> </w:t>
      </w:r>
      <w:r>
        <w:t xml:space="preserve">route LLM calls through BW’s</w:t>
      </w:r>
      <w:r>
        <w:t xml:space="preserve"> </w:t>
      </w:r>
      <w:r>
        <w:rPr>
          <w:b/>
          <w:bCs/>
        </w:rPr>
        <w:t xml:space="preserve">Enterprise Claude</w:t>
      </w:r>
      <w:r>
        <w:t xml:space="preserve"> </w:t>
      </w:r>
      <w:r>
        <w:t xml:space="preserve">(already licensed, enforces no-training) and/or</w:t>
      </w:r>
      <w:r>
        <w:t xml:space="preserve"> </w:t>
      </w:r>
      <w:r>
        <w:rPr>
          <w:b/>
          <w:bCs/>
        </w:rPr>
        <w:t xml:space="preserve">Azure OpenAI</w:t>
      </w:r>
      <w:r>
        <w:t xml:space="preserve"> </w:t>
      </w:r>
      <w:r>
        <w:t xml:space="preserve">in BW’s tenant (data stays in tenant, not used to train foundation models). This directly addresses the concern raised on the call.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Tenant isolation &amp; residency:</w:t>
      </w:r>
      <w:r>
        <w:t xml:space="preserve"> </w:t>
      </w:r>
      <w:r>
        <w:t xml:space="preserve">all compute/data inside BW’s subscription + region.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Private networking:</w:t>
      </w:r>
      <w:r>
        <w:t xml:space="preserve"> </w:t>
      </w:r>
      <w:r>
        <w:t xml:space="preserve">decide private endpoints / VNet topology</w:t>
      </w:r>
      <w:r>
        <w:t xml:space="preserve"> </w:t>
      </w:r>
      <w:r>
        <w:rPr>
          <w:b/>
          <w:bCs/>
        </w:rPr>
        <w:t xml:space="preserve">up front</w:t>
      </w:r>
      <w:r>
        <w:t xml:space="preserve"> </w:t>
      </w:r>
      <w:r>
        <w:t xml:space="preserve">(Nancy) — Azure SQL and Azure DB for PostgreSQL both support private-only access; Foundry private endpoints are not the default and need deliberate setup.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Reviews:</w:t>
      </w:r>
      <w:r>
        <w:t xml:space="preserve"> </w:t>
      </w:r>
      <w:r>
        <w:t xml:space="preserve">BW security review before any external connection;</w:t>
      </w:r>
      <w:r>
        <w:t xml:space="preserve"> </w:t>
      </w:r>
      <w:r>
        <w:rPr>
          <w:b/>
          <w:bCs/>
        </w:rPr>
        <w:t xml:space="preserve">MCP connectors</w:t>
      </w:r>
      <w:r>
        <w:t xml:space="preserve"> </w:t>
      </w:r>
      <w:r>
        <w:t xml:space="preserve">go through BW’s MCP review.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Secrets &amp; identity:</w:t>
      </w:r>
      <w:r>
        <w:t xml:space="preserve"> </w:t>
      </w:r>
      <w:r>
        <w:t xml:space="preserve">Key Vault + Managed Identity (no secrets in code); Entra for users; per-agent identity (Entra Agent ID) as the agent layer matures.</w:t>
      </w:r>
    </w:p>
    <w:p>
      <w:r>
        <w:pict>
          <v:rect style="width:0;height:1.5pt" o:hralign="center" o:hrstd="t" o:hr="t"/>
        </w:pict>
      </w:r>
    </w:p>
    <w:bookmarkEnd w:id="36"/>
    <w:bookmarkStart w:id="42" w:name="X71f3089f5d1d0fa77ec66f7196c9dd082045da5"/>
    <w:p>
      <w:pPr>
        <w:pStyle w:val="Heading2"/>
      </w:pPr>
      <w:r>
        <w:t xml:space="preserve">Part VII — Recommended path forward &amp; BC’s role</w:t>
      </w:r>
    </w:p>
    <w:bookmarkStart w:id="37" w:name="X59ed29b3e045f353a1d73873a80e1b704388cc1"/>
    <w:p>
      <w:pPr>
        <w:pStyle w:val="Heading3"/>
      </w:pPr>
      <w:r>
        <w:t xml:space="preserve">7.1 The no-regret bridge (do this now — engine-agnostic)</w:t>
      </w:r>
    </w:p>
    <w:p>
      <w:pPr>
        <w:pStyle w:val="FirstParagraph"/>
      </w:pPr>
      <w:r>
        <w:t xml:space="preserve">These steps create momentum without waiting on the engine decision: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Stand up a CARR resource group</w:t>
      </w:r>
      <w:r>
        <w:t xml:space="preserve"> </w:t>
      </w:r>
      <w:r>
        <w:t xml:space="preserve">(Landon) in the agreed subscription.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Port the raw data first</w:t>
      </w:r>
      <w:r>
        <w:t xml:space="preserve"> </w:t>
      </w:r>
      <w:r>
        <w:t xml:space="preserve">— get accounts/contacts into a staging database on BW’s side (fast; BC can grant scoped access/token to pull). Engine-agnostic.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Proof-test one Edge Function → Azure Function/Container App</w:t>
      </w:r>
      <w:r>
        <w:t xml:space="preserve"> </w:t>
      </w:r>
      <w:r>
        <w:t xml:space="preserve">(e.g.,</w:t>
      </w:r>
      <w:r>
        <w:t xml:space="preserve"> </w:t>
      </w:r>
      <w:r>
        <w:rPr>
          <w:rStyle w:val="VerbatimChar"/>
        </w:rPr>
        <w:t xml:space="preserve">generate-outreach-message</w:t>
      </w:r>
      <w:r>
        <w:t xml:space="preserve">) to measure real port effort.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Stand up a Foundry POC</w:t>
      </w:r>
      <w:r>
        <w:t xml:space="preserve"> </w:t>
      </w:r>
      <w:r>
        <w:t xml:space="preserve">resource for the AI pieces, knowing it’s pre-production.</w:t>
      </w:r>
      <w:r>
        <w:t xml:space="preserve"> </w:t>
      </w:r>
      <w:r>
        <w:t xml:space="preserve">5.</w:t>
      </w:r>
      <w:r>
        <w:t xml:space="preserve"> </w:t>
      </w:r>
      <w:r>
        <w:rPr>
          <w:b/>
          <w:bCs/>
        </w:rPr>
        <w:t xml:space="preserve">Adopt Enterprise Claude</w:t>
      </w:r>
      <w:r>
        <w:t xml:space="preserve"> </w:t>
      </w:r>
      <w:r>
        <w:t xml:space="preserve">for CARR’s LLM calls.</w:t>
      </w:r>
    </w:p>
    <w:bookmarkEnd w:id="37"/>
    <w:bookmarkStart w:id="38" w:name="decisions-bw-needs-to-make"/>
    <w:p>
      <w:pPr>
        <w:pStyle w:val="Heading3"/>
      </w:pPr>
      <w:r>
        <w:t xml:space="preserve">7.2 Decisions BW needs to make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DB engine:</w:t>
      </w:r>
      <w:r>
        <w:t xml:space="preserve"> </w:t>
      </w:r>
      <w:r>
        <w:t xml:space="preserve">✅</w:t>
      </w:r>
      <w:r>
        <w:t xml:space="preserve"> </w:t>
      </w:r>
      <w:r>
        <w:rPr>
          <w:b/>
          <w:bCs/>
        </w:rPr>
        <w:t xml:space="preserve">Decided 2026-06-17 — Azure SQL</w:t>
      </w:r>
      <w:r>
        <w:t xml:space="preserve"> </w:t>
      </w:r>
      <w:r>
        <w:t xml:space="preserve">(BW standard). Remaining sub-decision: the</w:t>
      </w:r>
      <w:r>
        <w:t xml:space="preserve"> </w:t>
      </w:r>
      <w:r>
        <w:rPr>
          <w:b/>
          <w:bCs/>
        </w:rPr>
        <w:t xml:space="preserve">Azure SQL flavor</w:t>
      </w:r>
      <w:r>
        <w:t xml:space="preserve"> </w:t>
      </w:r>
      <w:r>
        <w:t xml:space="preserve">(Managed Instance vs. SQL Database) — it drives the scheduler choice (SQL Agent vs. Elastic Jobs) and cross-database behavior; worth confirming early.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AI architect / owner:</w:t>
      </w:r>
      <w:r>
        <w:t xml:space="preserve"> </w:t>
      </w:r>
      <w:r>
        <w:t xml:space="preserve">who owns the Foundry + agent architecture (John’s hire).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Networking topology:</w:t>
      </w:r>
      <w:r>
        <w:t xml:space="preserve"> </w:t>
      </w:r>
      <w:r>
        <w:t xml:space="preserve">private vs. public, decided before build.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External-rep identity model:</w:t>
      </w:r>
      <w:r>
        <w:t xml:space="preserve"> </w:t>
      </w:r>
      <w:r>
        <w:t xml:space="preserve">Entra B2B-guest vs. CIAM.</w:t>
      </w:r>
    </w:p>
    <w:bookmarkEnd w:id="38"/>
    <w:bookmarkStart w:id="39" w:name="timeline-framing-honest"/>
    <w:p>
      <w:pPr>
        <w:pStyle w:val="Heading3"/>
      </w:pPr>
      <w:r>
        <w:t xml:space="preserve">7.3 Timeline framing (honest)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i/>
          <w:iCs/>
        </w:rPr>
        <w:t xml:space="preserve">production</w:t>
      </w:r>
      <w:r>
        <w:t xml:space="preserve"> </w:t>
      </w:r>
      <w:r>
        <w:t xml:space="preserve">cutover</w:t>
      </w:r>
      <w:r>
        <w:t xml:space="preserve"> </w:t>
      </w:r>
      <w:r>
        <w:t xml:space="preserve">“this week”</w:t>
      </w:r>
      <w:r>
        <w:t xml:space="preserve"> </w:t>
      </w:r>
      <w:r>
        <w:t xml:space="preserve">is not realistic — not because of CARR’s app, but because BW’s Foundry/AI environment is pre-production, the AI architect isn’t in seat, and security/networking reviews must complete. A reasonable near-term milestone is the</w:t>
      </w:r>
      <w:r>
        <w:t xml:space="preserve"> </w:t>
      </w:r>
      <w:r>
        <w:rPr>
          <w:b/>
          <w:bCs/>
        </w:rPr>
        <w:t xml:space="preserve">data port + one-function proof</w:t>
      </w:r>
      <w:r>
        <w:t xml:space="preserve">, which</w:t>
      </w:r>
      <w:r>
        <w:t xml:space="preserve"> </w:t>
      </w:r>
      <w:r>
        <w:rPr>
          <w:i/>
          <w:iCs/>
        </w:rPr>
        <w:t xml:space="preserve">is</w:t>
      </w:r>
      <w:r>
        <w:t xml:space="preserve"> </w:t>
      </w:r>
      <w:r>
        <w:t xml:space="preserve">achievable quickly and de-risks everything after it.</w:t>
      </w:r>
    </w:p>
    <w:bookmarkEnd w:id="39"/>
    <w:bookmarkStart w:id="40" w:name="bcs-role"/>
    <w:p>
      <w:pPr>
        <w:pStyle w:val="Heading3"/>
      </w:pPr>
      <w:r>
        <w:t xml:space="preserve">7.4 BC’s role</w:t>
      </w:r>
    </w:p>
    <w:p>
      <w:pPr>
        <w:pStyle w:val="FirstParagraph"/>
      </w:pPr>
      <w:r>
        <w:t xml:space="preserve">BC will</w:t>
      </w:r>
      <w:r>
        <w:t xml:space="preserve"> </w:t>
      </w:r>
      <w:r>
        <w:rPr>
          <w:b/>
          <w:bCs/>
        </w:rPr>
        <w:t xml:space="preserve">support the build, educate both teams, and help establish best practices</w:t>
      </w:r>
      <w:r>
        <w:t xml:space="preserve"> </w:t>
      </w:r>
      <w:r>
        <w:t xml:space="preserve">as this environment keeps changing. For the Azure SQL conversion specifically, BC can deliver a</w:t>
      </w:r>
      <w:r>
        <w:t xml:space="preserve"> </w:t>
      </w:r>
      <w:r>
        <w:rPr>
          <w:b/>
          <w:bCs/>
        </w:rPr>
        <w:t xml:space="preserve">purpose-built translation step + verification loop</w:t>
      </w:r>
      <w:r>
        <w:t xml:space="preserve"> </w:t>
      </w:r>
      <w:r>
        <w:t xml:space="preserve">(per §3.6) so the database code is converted accountably, with behavior-equivalence proven object-by-object. The mechanics of the port (who does what, and how far BC carries it) sit slightly outside the current agreement and are a</w:t>
      </w:r>
      <w:r>
        <w:t xml:space="preserve"> </w:t>
      </w:r>
      <w:r>
        <w:rPr>
          <w:b/>
          <w:bCs/>
        </w:rPr>
        <w:t xml:space="preserve">scope/commercial conversation</w:t>
      </w:r>
      <w:r>
        <w:t xml:space="preserve"> </w:t>
      </w:r>
      <w:r>
        <w:t xml:space="preserve">to have with Colby and Chad — BC is open to it.</w:t>
      </w:r>
    </w:p>
    <w:bookmarkEnd w:id="40"/>
    <w:bookmarkStart w:id="41" w:name="ip-learning-boundary-noted-respectfully"/>
    <w:p>
      <w:pPr>
        <w:pStyle w:val="Heading3"/>
      </w:pPr>
      <w:r>
        <w:t xml:space="preserve">7.5 IP / learning boundary (noted respectfully)</w:t>
      </w:r>
    </w:p>
    <w:p>
      <w:pPr>
        <w:pStyle w:val="FirstParagraph"/>
      </w:pPr>
      <w:r>
        <w:t xml:space="preserve">Per the engagement understanding, CARR’s own application, data, and build are CARR’s; BC’s reusable cross-client methodology (the</w:t>
      </w:r>
      <w:r>
        <w:t xml:space="preserve"> </w:t>
      </w:r>
      <w:r>
        <w:t xml:space="preserve">“spine”</w:t>
      </w:r>
      <w:r>
        <w:t xml:space="preserve"> </w:t>
      </w:r>
      <w:r>
        <w:t xml:space="preserve">approach) is described here at a capability level and remains BC’s. This doesn’t constrain the migration — it just frames what’s being moved vs. what’s being learned-from.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3" w:name="X641b079e3c2ed921e8eeb49570e5eea19dd81f6"/>
    <w:p>
      <w:pPr>
        <w:pStyle w:val="Heading2"/>
      </w:pPr>
      <w:r>
        <w:t xml:space="preserve">Appendix A — Component crosswalk (quick reference)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CARR today (Supabase)</w:t>
            </w:r>
          </w:p>
        </w:tc>
        <w:tc>
          <w:tcPr/>
          <w:p>
            <w:pPr>
              <w:pStyle w:val="Compact"/>
            </w:pPr>
            <w:r>
              <w:t xml:space="preserve">Path A (Azure DB for PostgreSQL)</w:t>
            </w:r>
          </w:p>
        </w:tc>
        <w:tc>
          <w:tcPr/>
          <w:p>
            <w:pPr>
              <w:pStyle w:val="Compact"/>
            </w:pPr>
            <w:r>
              <w:t xml:space="preserve">Path B (Azure SQL)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Postgres DB (89 migration files / ~560 applied)</w:t>
            </w:r>
          </w:p>
        </w:tc>
        <w:tc>
          <w:tcPr/>
          <w:p>
            <w:pPr>
              <w:pStyle w:val="Compact"/>
            </w:pPr>
            <w:r>
              <w:t xml:space="preserve">Azure DB for PostgreSQL (lift-and-shift)</w:t>
            </w:r>
          </w:p>
        </w:tc>
        <w:tc>
          <w:tcPr/>
          <w:p>
            <w:pPr>
              <w:pStyle w:val="Compact"/>
            </w:pPr>
            <w:r>
              <w:t xml:space="preserve">Azure SQL (re-author T-SQL)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RLS (rep/admin)</w:t>
            </w:r>
          </w:p>
        </w:tc>
        <w:tc>
          <w:tcPr/>
          <w:p>
            <w:pPr>
              <w:pStyle w:val="Compact"/>
            </w:pPr>
            <w:r>
              <w:t xml:space="preserve">Port; swap identity source</w:t>
            </w:r>
          </w:p>
        </w:tc>
        <w:tc>
          <w:tcPr/>
          <w:p>
            <w:pPr>
              <w:pStyle w:val="Compact"/>
            </w:pPr>
            <w:r>
              <w:t xml:space="preserve">Re-engineer (security policies)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PL/pgSQL triggers/functions</w:t>
            </w:r>
          </w:p>
        </w:tc>
        <w:tc>
          <w:tcPr/>
          <w:p>
            <w:pPr>
              <w:pStyle w:val="Compact"/>
            </w:pPr>
            <w:r>
              <w:t xml:space="preserve">Port as-is</w:t>
            </w:r>
          </w:p>
        </w:tc>
        <w:tc>
          <w:tcPr/>
          <w:p>
            <w:pPr>
              <w:pStyle w:val="Compact"/>
            </w:pPr>
            <w:r>
              <w:t xml:space="preserve">Rewrite as T-SQL procs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21</w:t>
            </w:r>
            <w:r>
              <w:t xml:space="preserve"> </w:t>
            </w:r>
            <w:r>
              <w:rPr>
                <w:rStyle w:val="VerbatimChar"/>
              </w:rPr>
              <w:t xml:space="preserve">pg_cron</w:t>
            </w:r>
            <w:r>
              <w:t xml:space="preserve"> </w:t>
            </w:r>
            <w:r>
              <w:t xml:space="preserve">jobs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pg_cron</w:t>
            </w:r>
          </w:p>
        </w:tc>
        <w:tc>
          <w:tcPr/>
          <w:p>
            <w:pPr>
              <w:pStyle w:val="Compact"/>
            </w:pPr>
            <w:r>
              <w:t xml:space="preserve">Elastic Jobs / Timer triggers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pg_net</w:t>
            </w:r>
            <w:r>
              <w:t xml:space="preserve">/</w:t>
            </w:r>
            <w:r>
              <w:rPr>
                <w:rStyle w:val="VerbatimChar"/>
              </w:rPr>
              <w:t xml:space="preserve">http</w:t>
            </w:r>
            <w:r>
              <w:t xml:space="preserve"> </w:t>
            </w:r>
            <w:r>
              <w:t xml:space="preserve">in-DB</w:t>
            </w:r>
          </w:p>
        </w:tc>
        <w:tc>
          <w:tcPr/>
          <w:p>
            <w:pPr>
              <w:pStyle w:val="Compact"/>
            </w:pPr>
            <w:r>
              <w:t xml:space="preserve">Supported (verify</w:t>
            </w:r>
            <w:r>
              <w:t xml:space="preserve"> </w:t>
            </w:r>
            <w:r>
              <w:rPr>
                <w:rStyle w:val="VerbatimChar"/>
              </w:rPr>
              <w:t xml:space="preserve">pg_net</w:t>
            </w:r>
            <w:r>
              <w:t xml:space="preserve">)</w:t>
            </w:r>
          </w:p>
        </w:tc>
        <w:tc>
          <w:tcPr/>
          <w:p>
            <w:pPr>
              <w:pStyle w:val="Compact"/>
            </w:pPr>
            <w:r>
              <w:t xml:space="preserve">External compute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Supabase Vault</w:t>
            </w:r>
          </w:p>
        </w:tc>
        <w:tc>
          <w:tcPr/>
          <w:p>
            <w:pPr>
              <w:pStyle w:val="Compact"/>
            </w:pPr>
            <w:r>
              <w:t xml:space="preserve">Azure Key Vault</w:t>
            </w:r>
          </w:p>
        </w:tc>
        <w:tc>
          <w:tcPr/>
          <w:p>
            <w:pPr>
              <w:pStyle w:val="Compact"/>
            </w:pPr>
            <w:r>
              <w:t xml:space="preserve">Azure Key Vault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Supabase Auth</w:t>
            </w:r>
          </w:p>
        </w:tc>
        <w:tc>
          <w:tcPr/>
          <w:p>
            <w:pPr>
              <w:pStyle w:val="Compact"/>
            </w:pPr>
            <w:r>
              <w:t xml:space="preserve">Entra ID + External ID</w:t>
            </w:r>
          </w:p>
        </w:tc>
        <w:tc>
          <w:tcPr/>
          <w:p>
            <w:pPr>
              <w:pStyle w:val="Compact"/>
            </w:pPr>
            <w:r>
              <w:t xml:space="preserve">Entra ID + External 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20 Edge Functions (Deno/TS)</w:t>
            </w:r>
          </w:p>
        </w:tc>
        <w:tc>
          <w:tcPr/>
          <w:p>
            <w:pPr>
              <w:pStyle w:val="Compact"/>
            </w:pPr>
            <w:r>
              <w:t xml:space="preserve">Container Apps (Deno) or Functions (Node)</w:t>
            </w:r>
          </w:p>
        </w:tc>
        <w:tc>
          <w:tcPr/>
          <w:p>
            <w:pPr>
              <w:pStyle w:val="Compact"/>
            </w:pPr>
            <w:r>
              <w:t xml:space="preserve">Same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Lovable-hosted Vite SPA</w:t>
            </w:r>
          </w:p>
        </w:tc>
        <w:tc>
          <w:tcPr/>
          <w:p>
            <w:pPr>
              <w:pStyle w:val="Compact"/>
            </w:pPr>
            <w:r>
              <w:t xml:space="preserve">Static Web Apps (keep Lovable as builder)</w:t>
            </w:r>
          </w:p>
        </w:tc>
        <w:tc>
          <w:tcPr/>
          <w:p>
            <w:pPr>
              <w:pStyle w:val="Compact"/>
            </w:pPr>
            <w:r>
              <w:t xml:space="preserve">Same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RAG/embeddings (roadmap)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pgvector</w:t>
            </w:r>
            <w:r>
              <w:t xml:space="preserve"> </w:t>
            </w:r>
            <w:r>
              <w:t xml:space="preserve">(native)</w:t>
            </w:r>
          </w:p>
        </w:tc>
        <w:tc>
          <w:tcPr/>
          <w:p>
            <w:pPr>
              <w:pStyle w:val="Compact"/>
            </w:pPr>
            <w:r>
              <w:t xml:space="preserve">Azure AI Search / Foundry IQ</w:t>
            </w:r>
          </w:p>
        </w:tc>
      </w:tr>
      <w:tr>
        <w:tc>
          <w:tcPr/>
          <w:p>
            <w:pPr>
              <w:pStyle w:val="Compact"/>
            </w:pPr>
            <w:r>
              <w:t xml:space="preserve">LLM calls (Claude/OpenAI)</w:t>
            </w:r>
          </w:p>
        </w:tc>
        <w:tc>
          <w:tcPr/>
          <w:p>
            <w:pPr>
              <w:pStyle w:val="Compact"/>
            </w:pPr>
            <w:r>
              <w:t xml:space="preserve">Enterprise Claude / Azure OpenAI (no-train)</w:t>
            </w:r>
          </w:p>
        </w:tc>
        <w:tc>
          <w:tcPr/>
          <w:p>
            <w:pPr>
              <w:pStyle w:val="Compact"/>
            </w:pPr>
            <w:r>
              <w:t xml:space="preserve">Same</w:t>
            </w:r>
          </w:p>
        </w:tc>
      </w:tr>
    </w:tbl>
    <w:bookmarkEnd w:id="43"/>
    <w:bookmarkStart w:id="44" w:name="appendix-b-people-roles-from-the-call"/>
    <w:p>
      <w:pPr>
        <w:pStyle w:val="Heading2"/>
      </w:pPr>
      <w:r>
        <w:t xml:space="preserve">Appendix B — People &amp; roles (from the call)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Colby Bishop</w:t>
      </w:r>
      <w:r>
        <w:t xml:space="preserve"> </w:t>
      </w:r>
      <w:r>
        <w:t xml:space="preserve">(CARR) — Product Manager, AI rollout lead.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Chad Evans</w:t>
      </w:r>
      <w:r>
        <w:t xml:space="preserve"> </w:t>
      </w:r>
      <w:r>
        <w:t xml:space="preserve">(BW-NA) — infrastructure/DBA lead, driving the migration.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Nancy Risch</w:t>
      </w:r>
      <w:r>
        <w:t xml:space="preserve"> </w:t>
      </w:r>
      <w:r>
        <w:t xml:space="preserve">(BW-NA) — architecture standards/governance.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Heather Greffe</w:t>
      </w:r>
      <w:r>
        <w:t xml:space="preserve"> </w:t>
      </w:r>
      <w:r>
        <w:t xml:space="preserve">(BW-NA) — DBA team.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Landon Godar</w:t>
      </w:r>
      <w:r>
        <w:t xml:space="preserve"> </w:t>
      </w:r>
      <w:r>
        <w:t xml:space="preserve">(BW-STL) — hands-on Azure (resource groups).</w:t>
      </w:r>
    </w:p>
    <w:p>
      <w:pPr>
        <w:pStyle w:val="Compact"/>
        <w:numPr>
          <w:ilvl w:val="0"/>
          <w:numId w:val="1015"/>
        </w:numPr>
      </w:pPr>
      <w:r>
        <w:rPr>
          <w:b/>
          <w:bCs/>
        </w:rPr>
        <w:t xml:space="preserve">John Katsapis</w:t>
      </w:r>
      <w:r>
        <w:t xml:space="preserve"> </w:t>
      </w:r>
      <w:r>
        <w:t xml:space="preserve">— AI team lead (hiring the AI architect);</w:t>
      </w:r>
      <w:r>
        <w:t xml:space="preserve"> </w:t>
      </w:r>
      <w:r>
        <w:rPr>
          <w:b/>
          <w:bCs/>
        </w:rPr>
        <w:t xml:space="preserve">Venkata</w:t>
      </w:r>
      <w:r>
        <w:t xml:space="preserve"> </w:t>
      </w:r>
      <w:r>
        <w:t xml:space="preserve">— DBA lead (OK supporting Postgres); two senior data architects inbound (Intella started this week).</w:t>
      </w:r>
    </w:p>
    <w:bookmarkEnd w:id="44"/>
    <w:bookmarkStart w:id="45" w:name="appendix-c-maturity-tags-sources"/>
    <w:p>
      <w:pPr>
        <w:pStyle w:val="Heading2"/>
      </w:pPr>
      <w:r>
        <w:t xml:space="preserve">Appendix C — Maturity tags &amp; sources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GA:</w:t>
      </w:r>
      <w:r>
        <w:t xml:space="preserve"> </w:t>
      </w:r>
      <w:r>
        <w:t xml:space="preserve">Azure SQL, Azure DB for PostgreSQL Flexible Server,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/</w:t>
      </w:r>
      <w:r>
        <w:rPr>
          <w:rStyle w:val="VerbatimChar"/>
        </w:rPr>
        <w:t xml:space="preserve">pgvector</w:t>
      </w:r>
      <w:r>
        <w:t xml:space="preserve"> </w:t>
      </w:r>
      <w:r>
        <w:t xml:space="preserve">on Flexible Server, Container Apps, Functions, Static Web Apps, Entra ID/External ID, Key Vault, Web PubSub, Foundry Agent Service (Mar 16 2026),</w:t>
      </w:r>
      <w:r>
        <w:t xml:space="preserve"> </w:t>
      </w:r>
      <w:r>
        <w:rPr>
          <w:b/>
          <w:bCs/>
        </w:rPr>
        <w:t xml:space="preserve">SQL Server 2025 native vector type + AI-model management (GA 2025-11-18; vector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index</w:t>
      </w:r>
      <w:r>
        <w:rPr>
          <w:b/>
          <w:bCs/>
        </w:rPr>
        <w:t xml:space="preserve"> </w:t>
      </w:r>
      <w:r>
        <w:rPr>
          <w:b/>
          <w:bCs/>
        </w:rPr>
        <w:t xml:space="preserve">preview-flagged).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Preview / pre-production at BW:</w:t>
      </w:r>
      <w:r>
        <w:t xml:space="preserve"> </w:t>
      </w:r>
      <w:r>
        <w:t xml:space="preserve">Foundry agent memory, agent-to-agent orchestration;</w:t>
      </w:r>
      <w:r>
        <w:t xml:space="preserve"> </w:t>
      </w:r>
      <w:r>
        <w:rPr>
          <w:b/>
          <w:bCs/>
        </w:rPr>
        <w:t xml:space="preserve">BW’s own Foundry deployment is POC, not production.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Deprecation to avoid:</w:t>
      </w:r>
      <w:r>
        <w:t xml:space="preserve"> </w:t>
      </w:r>
      <w:r>
        <w:t xml:space="preserve">Azure OpenAI Assistants API retires Aug 26 2026 — build on Foundry Agent Service.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Sources:</w:t>
      </w:r>
      <w:r>
        <w:t xml:space="preserve"> </w:t>
      </w:r>
      <w:r>
        <w:t xml:space="preserve">the companion research docs in §VIII, live inspection of the CARR app + CARR DB (</w:t>
      </w:r>
      <w:r>
        <w:rPr>
          <w:rStyle w:val="VerbatimChar"/>
        </w:rPr>
        <w:t xml:space="preserve">drzxmokguptvwptuqjcv</w:t>
      </w:r>
      <w:r>
        <w:t xml:space="preserve">, census 2026-06-27), and the BW IT call (2026-06-17).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External research sweep (2026-06-27):</w:t>
      </w:r>
      <w:r>
        <w:t xml:space="preserve"> </w:t>
      </w:r>
      <w:r>
        <w:t xml:space="preserve">Stack Overflow 2025 Developer Survey; DB-Engines ranking; Microsoft Learn</w:t>
      </w:r>
      <w:r>
        <w:t xml:space="preserve"> </w:t>
      </w:r>
      <w:r>
        <w:t xml:space="preserve">“What’s new in SQL Server 2025”</w:t>
      </w:r>
      <w:r>
        <w:t xml:space="preserve">; industry trend coverage (rapydo.io, tech-insider.org); vector-database + MCP-ecosystem surveys. Point-in-time figures; re-verify before reuse. 2026 pricing/feature dates are projections unless from an official Microsoft page.</w:t>
      </w:r>
    </w:p>
    <w:p>
      <w:r>
        <w:pict>
          <v:rect style="width:0;height:1.5pt" o:hralign="center" o:hrstd="t" o:hr="t"/>
        </w:pict>
      </w:r>
    </w:p>
    <w:bookmarkEnd w:id="45"/>
    <w:bookmarkStart w:id="46" w:name="X6f12bba9af58edea7ecfe51e303d158ee1836fe"/>
    <w:p>
      <w:pPr>
        <w:pStyle w:val="Heading2"/>
      </w:pPr>
      <w:r>
        <w:t xml:space="preserve">Part VIII — Companion documents (where to go deeper)</w:t>
      </w:r>
    </w:p>
    <w:p>
      <w:pPr>
        <w:pStyle w:val="FirstParagraph"/>
      </w:pPr>
      <w:r>
        <w:t xml:space="preserve">This brief is the</w:t>
      </w:r>
      <w:r>
        <w:t xml:space="preserve"> </w:t>
      </w:r>
      <w:r>
        <w:rPr>
          <w:b/>
          <w:bCs/>
        </w:rPr>
        <w:t xml:space="preserve">core, neutral, shareable layer.</w:t>
      </w:r>
      <w:r>
        <w:t xml:space="preserve"> </w:t>
      </w:r>
      <w:r>
        <w:t xml:space="preserve">The companion documents below are the deeper detail behind each section — all included in this folder.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Document</w:t>
            </w:r>
          </w:p>
        </w:tc>
        <w:tc>
          <w:tcPr/>
          <w:p>
            <w:pPr>
              <w:pStyle w:val="Compact"/>
            </w:pPr>
            <w:r>
              <w:t xml:space="preserve">What it covers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01_data_layer.md</w:t>
            </w:r>
          </w:p>
        </w:tc>
        <w:tc>
          <w:tcPr/>
          <w:p>
            <w:pPr>
              <w:pStyle w:val="Compact"/>
            </w:pPr>
            <w:r>
              <w:t xml:space="preserve">The data-tier deep dive — Azure SQL vs Postgres, RLS/identity, migration mechanics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02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02_ai_foundry_agents.md</w:t>
            </w:r>
          </w:p>
        </w:tc>
        <w:tc>
          <w:tcPr/>
          <w:p>
            <w:pPr>
              <w:pStyle w:val="Compact"/>
            </w:pPr>
            <w:r>
              <w:t xml:space="preserve">Microsoft Foundry, the Agent Service, and how the AI layer maps to Azure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03_compute_frontend.md</w:t>
            </w:r>
          </w:p>
        </w:tc>
        <w:tc>
          <w:tcPr/>
          <w:p>
            <w:pPr>
              <w:pStyle w:val="Compact"/>
            </w:pPr>
            <w:r>
              <w:t xml:space="preserve">Where the app + functions run (Container Apps / Functions / Static Web Apps)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04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04_github_devops_governance.md</w:t>
            </w:r>
          </w:p>
        </w:tc>
        <w:tc>
          <w:tcPr/>
          <w:p>
            <w:pPr>
              <w:pStyle w:val="Compact"/>
            </w:pPr>
            <w:r>
              <w:t xml:space="preserve">GitHub Enterprise → Azure CI/CD, Entra identity, Key Vault, governance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05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05_carr_migration_map.md</w:t>
            </w:r>
          </w:p>
        </w:tc>
        <w:tc>
          <w:tcPr/>
          <w:p>
            <w:pPr>
              <w:pStyle w:val="Compact"/>
            </w:pPr>
            <w:r>
              <w:t xml:space="preserve">Component-by-component Supabase → Azure crosswalk + effort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06_glossary.md</w:t>
            </w:r>
          </w:p>
        </w:tc>
        <w:tc>
          <w:tcPr/>
          <w:p>
            <w:pPr>
              <w:pStyle w:val="Compact"/>
            </w:pPr>
            <w:r>
              <w:t xml:space="preserve">Plain-English Azure terms for the CARR/BW team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07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07_azure_sql_conversion.md</w:t>
            </w:r>
          </w:p>
        </w:tc>
        <w:tc>
          <w:tcPr/>
          <w:p>
            <w:pPr>
              <w:pStyle w:val="Compact"/>
            </w:pPr>
            <w:r>
              <w:t xml:space="preserve">The verified PG→Azure SQL conversion scope + per-object rewrite map + data-transfer runbook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10_llm_knowledge_and_oss_landscape.md</w:t>
            </w:r>
          </w:p>
        </w:tc>
        <w:tc>
          <w:tcPr/>
          <w:p>
            <w:pPr>
              <w:pStyle w:val="Compact"/>
            </w:pPr>
            <w:r>
              <w:t xml:space="preserve">The model-knowledge test + open-source tooling landscape (</w:t>
            </w:r>
            <w:r>
              <w:rPr>
                <w:rStyle w:val="VerbatimChar"/>
              </w:rPr>
              <w:t xml:space="preserve">sqlglot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13_postgres_vs_azure_sql_reanalysis.md</w:t>
            </w:r>
          </w:p>
        </w:tc>
        <w:tc>
          <w:tcPr/>
          <w:p>
            <w:pPr>
              <w:pStyle w:val="Compact"/>
            </w:pPr>
            <w:r>
              <w:t xml:space="preserve">The full engine reanalysis behind §3 (pros/cons + recommendation)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14_strategic_trend_analysis.md</w:t>
            </w:r>
          </w:p>
        </w:tc>
        <w:tc>
          <w:tcPr/>
          <w:p>
            <w:pPr>
              <w:pStyle w:val="Compact"/>
            </w:pPr>
            <w:r>
              <w:t xml:space="preserve">The cited 2026 industry-trend + AI-tooling research behind §3.5</w:t>
            </w:r>
          </w:p>
        </w:tc>
      </w:tr>
    </w:tbl>
    <w:p>
      <w:pPr>
        <w:pStyle w:val="BlockText"/>
      </w:pPr>
      <w:r>
        <w:rPr>
          <w:b/>
          <w:bCs/>
        </w:rPr>
        <w:t xml:space="preserve">Note on scope:</w:t>
      </w:r>
      <w:r>
        <w:t xml:space="preserve"> </w:t>
      </w:r>
      <w:r>
        <w:t xml:space="preserve">this brief is the document to share with the CARR/BW team; the companion files are the reference detail behind it, and can be opened up as the team needs. (A few internal working notes — effort estimates and engagement/scope options — are kept separately and are not part of this set.)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Prepared by BioCreative Strategies. This is a neutral migration brief: BW has selected Azure SQL, that path is fully viable and supportable, and the conversion is a known, de-riskable quantity. The standing recommendation is to begin with the no-regret data-port + single-function proof while the Azure foundations (identity, networking, AI architect) come into place.</w:t>
      </w:r>
    </w:p>
    <w:bookmarkEnd w:id="46"/>
    <w:bookmarkEnd w:id="4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Azure Migration Briefing (client brief)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