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Full System Migration Map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6" w:name="Xb65a47627128363d86e5304e502561a3918b85e"/>
    <w:p>
      <w:pPr>
        <w:pStyle w:val="Heading1"/>
      </w:pPr>
      <w:r>
        <w:t xml:space="preserve">CARR Full System Migration Map (App + Upstream Tooling -&gt; Azure)</w:t>
      </w:r>
    </w:p>
    <w:p>
      <w:pPr>
        <w:pStyle w:val="BlockText"/>
      </w:pPr>
      <w:r>
        <w:rPr>
          <w:b/>
          <w:bCs/>
        </w:rPr>
        <w:t xml:space="preserve">For:</w:t>
      </w:r>
      <w:r>
        <w:t xml:space="preserve"> </w:t>
      </w:r>
      <w:r>
        <w:t xml:space="preserve">Barry-Wehmiller IT + CARR leadership |</w:t>
      </w:r>
      <w:r>
        <w:t xml:space="preserve"> </w:t>
      </w:r>
      <w:r>
        <w:rPr>
          <w:b/>
          <w:bCs/>
        </w:rPr>
        <w:t xml:space="preserve">Prepared by:</w:t>
      </w:r>
      <w:r>
        <w:t xml:space="preserve"> </w:t>
      </w:r>
      <w:r>
        <w:t xml:space="preserve">BioCreative Strategies |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2026-07-21</w:t>
      </w:r>
      <w:r>
        <w:t xml:space="preserve"> </w:t>
      </w:r>
      <w:r>
        <w:rPr>
          <w:b/>
          <w:bCs/>
        </w:rPr>
        <w:t xml:space="preserve">Purpose:</w:t>
      </w:r>
      <w:r>
        <w:t xml:space="preserve"> </w:t>
      </w:r>
      <w:r>
        <w:t xml:space="preserve">One authoritative picture of the</w:t>
      </w:r>
      <w:r>
        <w:t xml:space="preserve"> </w:t>
      </w:r>
      <w:r>
        <w:rPr>
          <w:i/>
          <w:iCs/>
        </w:rPr>
        <w:t xml:space="preserve">entire</w:t>
      </w:r>
      <w:r>
        <w:t xml:space="preserve"> </w:t>
      </w:r>
      <w:r>
        <w:t xml:space="preserve">CARR platform - the app, its database, its edge functions, and the custom code + agents BC runs</w:t>
      </w:r>
      <w:r>
        <w:t xml:space="preserve"> </w:t>
      </w:r>
      <w:r>
        <w:rPr>
          <w:i/>
          <w:iCs/>
        </w:rPr>
        <w:t xml:space="preserve">outside</w:t>
      </w:r>
      <w:r>
        <w:t xml:space="preserve"> </w:t>
      </w:r>
      <w:r>
        <w:t xml:space="preserve">the database to keep it fed - and how every piece maps onto Barry-Wehmiller’s Azure environment. This is the top-level map; the detailed census docs live in</w:t>
      </w:r>
      <w:r>
        <w:t xml:space="preserve"> </w:t>
      </w:r>
      <w:r>
        <w:rPr>
          <w:rStyle w:val="VerbatimChar"/>
        </w:rPr>
        <w:t xml:space="preserve">docs/azure-migration/</w:t>
      </w:r>
      <w:r>
        <w:t xml:space="preserve">.</w:t>
      </w:r>
    </w:p>
    <w:bookmarkStart w:id="9" w:name="the-whole-system-in-one-picture"/>
    <w:p>
      <w:pPr>
        <w:pStyle w:val="Heading2"/>
      </w:pPr>
      <w:r>
        <w:t xml:space="preserve">The whole system in one picture</w:t>
      </w:r>
    </w:p>
    <w:p>
      <w:pPr>
        <w:pStyle w:val="FirstParagraph"/>
      </w:pPr>
      <w:r>
        <w:t xml:space="preserve">CARR is not a single app. It is three layers, and a migration has to move all three. Read it top-down: start from the app the user sees, then what sits under it, then what feeds it.</w:t>
      </w:r>
    </w:p>
    <w:p>
      <w:pPr>
        <w:pStyle w:val="SourceCode"/>
      </w:pPr>
      <w:r>
        <w:rPr>
          <w:rStyle w:val="VerbatimChar"/>
        </w:rPr>
        <w:t xml:space="preserve">  LAYER 1  APP (Lovable/Vite SPA + 26 edge functions + Supabase Auth + PostgREST API)</w:t>
      </w:r>
      <w:r>
        <w:br/>
      </w:r>
      <w:r>
        <w:rPr>
          <w:rStyle w:val="VerbatimChar"/>
        </w:rPr>
        <w:t xml:space="preserve">           22 pages: Accounts, Target Universe, Campaigns, Pipeline, Content Studio, etc.</w:t>
      </w:r>
      <w:r>
        <w:br/>
      </w:r>
      <w:r>
        <w:rPr>
          <w:rStyle w:val="VerbatimChar"/>
        </w:rPr>
        <w:t xml:space="preserve">                                   |  runs on</w:t>
      </w:r>
      <w:r>
        <w:br/>
      </w:r>
      <w:r>
        <w:rPr>
          <w:rStyle w:val="VerbatimChar"/>
        </w:rPr>
        <w:t xml:space="preserve">                                   v</w:t>
      </w:r>
      <w:r>
        <w:br/>
      </w:r>
      <w:r>
        <w:rPr>
          <w:rStyle w:val="VerbatimChar"/>
        </w:rPr>
        <w:t xml:space="preserve">  LAYER 2  DATA + IN-DATABASE LOGIC (Supabase Postgres)</w:t>
      </w:r>
      <w:r>
        <w:br/>
      </w:r>
      <w:r>
        <w:rPr>
          <w:rStyle w:val="VerbatimChar"/>
        </w:rPr>
        <w:t xml:space="preserve">           86 tables, 101 views, 131 functions, 252 RLS policies, 46 triggers, 21 pg_cron jobs,</w:t>
      </w:r>
      <w:r>
        <w:br/>
      </w:r>
      <w:r>
        <w:rPr>
          <w:rStyle w:val="VerbatimChar"/>
        </w:rPr>
        <w:t xml:space="preserve">           Supabase Vault, pg_net/http</w:t>
      </w:r>
      <w:r>
        <w:br/>
      </w:r>
      <w:r>
        <w:rPr>
          <w:rStyle w:val="VerbatimChar"/>
        </w:rPr>
        <w:t xml:space="preserve">                                   ^</w:t>
      </w:r>
      <w:r>
        <w:br/>
      </w:r>
      <w:r>
        <w:rPr>
          <w:rStyle w:val="VerbatimChar"/>
        </w:rPr>
        <w:t xml:space="preserve">                                   |  fed by (webhooks + sync RPCs)</w:t>
      </w:r>
      <w:r>
        <w:br/>
      </w:r>
      <w:r>
        <w:rPr>
          <w:rStyle w:val="VerbatimChar"/>
        </w:rPr>
        <w:t xml:space="preserve">  LAYER 3  UPSTREAM DATA TOOLING (runs on BC infra, feeds CARR)</w:t>
      </w:r>
      <w:r>
        <w:br/>
      </w:r>
      <w:r>
        <w:rPr>
          <w:rStyle w:val="VerbatimChar"/>
        </w:rPr>
        <w:t xml:space="preserve">           Sales Navigator -&gt; PhantomBuster -&gt; Clay + FullEnrich -&gt; HeyReach / EmailBison</w:t>
      </w:r>
      <w:r>
        <w:br/>
      </w:r>
      <w:r>
        <w:rPr>
          <w:rStyle w:val="VerbatimChar"/>
        </w:rPr>
        <w:t xml:space="preserve">           BC Hub DB (17,290-company master)</w:t>
      </w:r>
    </w:p>
    <w:p>
      <w:pPr>
        <w:pStyle w:val="FirstParagraph"/>
      </w:pPr>
      <w:r>
        <w:t xml:space="preserve">Everything BW’s team can see (the app, the pages) is Layer 1. The value is in Layers 2 and 3, which are mostly invisible from the UI. This doc makes all three explicit.</w:t>
      </w:r>
    </w:p>
    <w:bookmarkEnd w:id="9"/>
    <w:bookmarkStart w:id="10" w:name="where-each-layer-lands-on-azure"/>
    <w:p>
      <w:pPr>
        <w:pStyle w:val="Heading2"/>
      </w:pPr>
      <w:r>
        <w:t xml:space="preserve">Where each layer lands on Azure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Layer</w:t>
            </w:r>
          </w:p>
        </w:tc>
        <w:tc>
          <w:tcPr/>
          <w:p>
            <w:pPr>
              <w:pStyle w:val="Compact"/>
            </w:pPr>
            <w:r>
              <w:t xml:space="preserve">What it is today</w:t>
            </w:r>
          </w:p>
        </w:tc>
        <w:tc>
          <w:tcPr/>
          <w:p>
            <w:pPr>
              <w:pStyle w:val="Compact"/>
            </w:pPr>
            <w:r>
              <w:t xml:space="preserve">Azure target</w:t>
            </w:r>
          </w:p>
        </w:tc>
        <w:tc>
          <w:tcPr/>
          <w:p>
            <w:pPr>
              <w:pStyle w:val="Compact"/>
            </w:pPr>
            <w:r>
              <w:t xml:space="preserve">Effort</w:t>
            </w:r>
          </w:p>
        </w:tc>
        <w:tc>
          <w:tcPr/>
          <w:p>
            <w:pPr>
              <w:pStyle w:val="Compact"/>
            </w:pPr>
            <w:r>
              <w:t xml:space="preserve">Detail doc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1a - Frontend</w:t>
            </w:r>
          </w:p>
        </w:tc>
        <w:tc>
          <w:tcPr/>
          <w:p>
            <w:pPr>
              <w:pStyle w:val="Compact"/>
            </w:pPr>
            <w:r>
              <w:t xml:space="preserve">Lovable-built React/Vite SPA, Supabase Auth, PostgREST auto-API</w:t>
            </w:r>
          </w:p>
        </w:tc>
        <w:tc>
          <w:tcPr/>
          <w:p>
            <w:pPr>
              <w:pStyle w:val="Compact"/>
            </w:pPr>
            <w:r>
              <w:t xml:space="preserve">Azure Static Web Apps (host) +</w:t>
            </w:r>
            <w:r>
              <w:t xml:space="preserve"> </w:t>
            </w:r>
            <w:r>
              <w:rPr>
                <w:b/>
                <w:bCs/>
              </w:rPr>
              <w:t xml:space="preserve">custom API middleware</w:t>
            </w:r>
            <w:r>
              <w:t xml:space="preserve"> </w:t>
            </w:r>
            <w:r>
              <w:t xml:space="preserve">on Container Apps (validates Entra JWT, injects identity for RLS) +</w:t>
            </w:r>
            <w:r>
              <w:t xml:space="preserve"> </w:t>
            </w:r>
            <w:r>
              <w:rPr>
                <w:b/>
                <w:bCs/>
              </w:rPr>
              <w:t xml:space="preserve">Entra ID / External ID</w:t>
            </w:r>
            <w:r>
              <w:t xml:space="preserve"> </w:t>
            </w:r>
            <w:r>
              <w:t xml:space="preserve">for reps</w:t>
            </w:r>
          </w:p>
        </w:tc>
        <w:tc>
          <w:tcPr/>
          <w:p>
            <w:pPr>
              <w:pStyle w:val="Compact"/>
            </w:pPr>
            <w:r>
              <w:t xml:space="preserve">L (auth + middleware are the genuine rewrite)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03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04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05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1b - Edge functions (26)</w:t>
            </w:r>
          </w:p>
        </w:tc>
        <w:tc>
          <w:tcPr/>
          <w:p>
            <w:pPr>
              <w:pStyle w:val="Compact"/>
            </w:pPr>
            <w:r>
              <w:t xml:space="preserve">Deno/TypeScript on Supabase Edge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Functions</w:t>
            </w:r>
            <w:r>
              <w:t xml:space="preserve"> </w:t>
            </w:r>
            <w:r>
              <w:t xml:space="preserve">(Node/TS) or Deno on Container Apps;</w:t>
            </w:r>
            <w:r>
              <w:t xml:space="preserve"> </w:t>
            </w:r>
            <w:r>
              <w:rPr>
                <w:b/>
                <w:bCs/>
              </w:rPr>
              <w:t xml:space="preserve">Foundry Model Router</w:t>
            </w:r>
            <w:r>
              <w:t xml:space="preserve"> </w:t>
            </w:r>
            <w:r>
              <w:t xml:space="preserve">for AI calls;</w:t>
            </w:r>
            <w:r>
              <w:t xml:space="preserve"> </w:t>
            </w:r>
            <w:r>
              <w:rPr>
                <w:b/>
                <w:bCs/>
              </w:rPr>
              <w:t xml:space="preserve">Key Vault</w:t>
            </w:r>
            <w:r>
              <w:t xml:space="preserve"> </w:t>
            </w:r>
            <w:r>
              <w:t xml:space="preserve">for secrets</w:t>
            </w:r>
          </w:p>
        </w:tc>
        <w:tc>
          <w:tcPr/>
          <w:p>
            <w:pPr>
              <w:pStyle w:val="Compact"/>
            </w:pPr>
            <w:r>
              <w:t xml:space="preserve">M per group, L in aggregate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08_edge_function_census.md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2 - Database + in-DB logic</w:t>
            </w:r>
          </w:p>
        </w:tc>
        <w:tc>
          <w:tcPr/>
          <w:p>
            <w:pPr>
              <w:pStyle w:val="Compact"/>
            </w:pPr>
            <w:r>
              <w:t xml:space="preserve">Postgres 17 + RLS + functions + triggers + pg_cron + Vault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Azure SQL (T-SQL)</w:t>
            </w:r>
            <w:r>
              <w:t xml:space="preserve"> </w:t>
            </w:r>
            <w:r>
              <w:t xml:space="preserve">per BW’s 2026-06-17 decision. Functions/RLS/triggers hand+agent-rewritten; cron -&gt; SQL Agent / Elastic Jobs / Functions timers; Vault -&gt; Key Vault; pg_net/http -&gt; Functions</w:t>
            </w:r>
          </w:p>
        </w:tc>
        <w:tc>
          <w:tcPr/>
          <w:p>
            <w:pPr>
              <w:pStyle w:val="Compact"/>
            </w:pPr>
            <w:r>
              <w:t xml:space="preserve">L (major rewrite, not a port)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07_azure_sql_conversion.md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3 - Upstream tooling + custom code</w:t>
            </w:r>
          </w:p>
        </w:tc>
        <w:tc>
          <w:tcPr/>
          <w:p>
            <w:pPr>
              <w:pStyle w:val="Compact"/>
            </w:pPr>
            <w:r>
              <w:t xml:space="preserve">SaaS (Sales Nav, PhantomBuster, Clay, FullEnrich, HeyReach, EmailBison) + BC scripts/notebooks/crons + BC Hub feed</w:t>
            </w:r>
          </w:p>
        </w:tc>
        <w:tc>
          <w:tcPr/>
          <w:p>
            <w:pPr>
              <w:pStyle w:val="Compact"/>
            </w:pPr>
            <w:r>
              <w:t xml:space="preserve">Internalized as a</w:t>
            </w:r>
            <w:r>
              <w:t xml:space="preserve"> </w:t>
            </w:r>
            <w:r>
              <w:rPr>
                <w:b/>
                <w:bCs/>
              </w:rPr>
              <w:t xml:space="preserve">7-agent CARR fleet</w:t>
            </w:r>
            <w:r>
              <w:t xml:space="preserve"> </w:t>
            </w:r>
            <w:r>
              <w:t xml:space="preserve">(Ingestion, Enrichment, Account-Matching HITL, Classification, SSO, Content Authoring, Orchestrator) running hybrid on Foundry + Container Apps; Hub feed phased-out</w:t>
            </w:r>
          </w:p>
        </w:tc>
        <w:tc>
          <w:tcPr/>
          <w:p>
            <w:pPr>
              <w:pStyle w:val="Compact"/>
            </w:pPr>
            <w:r>
              <w:t xml:space="preserve">M-L; Hub decision gates standalone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09_upstream_data_agents.md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11_carr_agent_fleet.md</w:t>
            </w:r>
          </w:p>
        </w:tc>
      </w:tr>
    </w:tbl>
    <w:bookmarkEnd w:id="10"/>
    <w:bookmarkStart w:id="11" w:name="X0f83e38451457ec5be90e1545d63d9e03104a86"/>
    <w:p>
      <w:pPr>
        <w:pStyle w:val="Heading2"/>
      </w:pPr>
      <w:r>
        <w:t xml:space="preserve">What BW owns after vs what stays BC-run (transition view)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Piece</w:t>
            </w:r>
          </w:p>
        </w:tc>
        <w:tc>
          <w:tcPr/>
          <w:p>
            <w:pPr>
              <w:pStyle w:val="Compact"/>
            </w:pPr>
            <w:r>
              <w:t xml:space="preserve">After migration</w:t>
            </w:r>
          </w:p>
        </w:tc>
        <w:tc>
          <w:tcPr/>
          <w:p>
            <w:pPr>
              <w:pStyle w:val="Compact"/>
            </w:pPr>
            <w:r>
              <w:t xml:space="preserve">During transition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Azure SQL database + schema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BW</w:t>
            </w:r>
          </w:p>
        </w:tc>
        <w:tc>
          <w:tcPr/>
          <w:p>
            <w:pPr>
              <w:pStyle w:val="Compact"/>
            </w:pPr>
            <w:r>
              <w:t xml:space="preserve">BC assists conversion + validation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 hosting + Entra auth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BW</w:t>
            </w:r>
          </w:p>
        </w:tc>
        <w:tc>
          <w:tcPr/>
          <w:p>
            <w:pPr>
              <w:pStyle w:val="Compact"/>
            </w:pPr>
            <w:r>
              <w:t xml:space="preserve">BC + BW co-build the middleware + auth swap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 edge functions (re-hosted)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BW</w:t>
            </w:r>
            <w:r>
              <w:t xml:space="preserve"> </w:t>
            </w:r>
            <w:r>
              <w:t xml:space="preserve">(Azure Functions)</w:t>
            </w:r>
          </w:p>
        </w:tc>
        <w:tc>
          <w:tcPr/>
          <w:p>
            <w:pPr>
              <w:pStyle w:val="Compact"/>
            </w:pPr>
            <w:r>
              <w:t xml:space="preserve">BC ports; BW hosts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Outreach SaaS (HeyReach, EmailBison)</w:t>
            </w:r>
          </w:p>
        </w:tc>
        <w:tc>
          <w:tcPr/>
          <w:p>
            <w:pPr>
              <w:pStyle w:val="Compact"/>
            </w:pPr>
            <w:r>
              <w:t xml:space="preserve">Shared - SaaS stays, integration in BW tenant</w:t>
            </w:r>
          </w:p>
        </w:tc>
        <w:tc>
          <w:tcPr/>
          <w:p>
            <w:pPr>
              <w:pStyle w:val="Compact"/>
            </w:pPr>
            <w:r>
              <w:t xml:space="preserve">BC runs sends until wired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Sourcing/enrichment SaaS (Sales Nav, PhantomBuster, Clay, FullEnrich)</w:t>
            </w:r>
          </w:p>
        </w:tc>
        <w:tc>
          <w:tcPr/>
          <w:p>
            <w:pPr>
              <w:pStyle w:val="Compact"/>
            </w:pPr>
            <w:r>
              <w:t xml:space="preserve">BW-driven via Azure Functions (vendors retained)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BC-run</w:t>
            </w:r>
            <w:r>
              <w:t xml:space="preserve"> </w:t>
            </w:r>
            <w:r>
              <w:t xml:space="preserve">on bc-ops until internalized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Colab notebooks (import/classify/enrich)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BW</w:t>
            </w:r>
            <w:r>
              <w:t xml:space="preserve"> </w:t>
            </w:r>
            <w:r>
              <w:t xml:space="preserve">(Azure ML / Foundry) or retired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BC-run</w:t>
            </w:r>
            <w:r>
              <w:t xml:space="preserve"> </w:t>
            </w:r>
            <w:r>
              <w:t xml:space="preserve">manually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BC Hub DB feed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Open decision</w:t>
            </w:r>
            <w:r>
              <w:t xml:space="preserve"> </w:t>
            </w:r>
            <w:r>
              <w:t xml:space="preserve">(keep BC-run feed vs internalize)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BC-run</w:t>
            </w:r>
          </w:p>
        </w:tc>
      </w:tr>
    </w:tbl>
    <w:bookmarkEnd w:id="11"/>
    <w:bookmarkStart w:id="12" w:name="X6b685efadfb8d69dcce3daa39d4864830e68d55"/>
    <w:p>
      <w:pPr>
        <w:pStyle w:val="Heading2"/>
      </w:pPr>
      <w:r>
        <w:t xml:space="preserve">The three genuine hard parts (call these out to BW)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Identity (Layer 1a).</w:t>
      </w:r>
      <w:r>
        <w:t xml:space="preserve"> </w:t>
      </w:r>
      <w:r>
        <w:t xml:space="preserve">External sales reps are not in BW’s directory. Entra vs External ID vs custom flow is the single biggest unknown, and it gates the RLS rework. See</w:t>
      </w:r>
      <w:r>
        <w:t xml:space="preserve"> </w:t>
      </w:r>
      <w:r>
        <w:rPr>
          <w:rStyle w:val="VerbatimChar"/>
        </w:rPr>
        <w:t xml:space="preserve">04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Database rewrite (Layer 2).</w:t>
      </w:r>
      <w:r>
        <w:t xml:space="preserve"> </w:t>
      </w:r>
      <w:r>
        <w:t xml:space="preserve">Postgres -&gt; Azure SQL is a rewrite, not a port: 131 functions, 252 RLS policies, 80 JSONB + 105 array columns, and in-DB networking all change. There is no first-party Microsoft PG-&gt;T-SQL converter. See</w:t>
      </w:r>
      <w:r>
        <w:t xml:space="preserve"> </w:t>
      </w:r>
      <w:r>
        <w:rPr>
          <w:rStyle w:val="VerbatimChar"/>
        </w:rPr>
        <w:t xml:space="preserve">07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upstream supply chain (Layer 3).</w:t>
      </w:r>
      <w:r>
        <w:t xml:space="preserve"> </w:t>
      </w:r>
      <w:r>
        <w:t xml:space="preserve">CARR is fed by BC-run SaaS + the BC Hub. Deciding what BW internalizes vs what stays a BC-run feed determines whether CARR can run standalone on Azure. See</w:t>
      </w:r>
      <w:r>
        <w:t xml:space="preserve"> </w:t>
      </w:r>
      <w:r>
        <w:rPr>
          <w:rStyle w:val="VerbatimChar"/>
        </w:rPr>
        <w:t xml:space="preserve">09</w:t>
      </w:r>
      <w:r>
        <w:t xml:space="preserve">. The</w:t>
      </w:r>
      <w:r>
        <w:t xml:space="preserve"> </w:t>
      </w:r>
      <w:r>
        <w:rPr>
          <w:b/>
          <w:bCs/>
        </w:rPr>
        <w:t xml:space="preserve">target-state</w:t>
      </w:r>
      <w:r>
        <w:t xml:space="preserve"> </w:t>
      </w:r>
      <w:r>
        <w:t xml:space="preserve">answer is a 7-agent CARR fleet that internalizes the whole chain - see</w:t>
      </w:r>
      <w:r>
        <w:t xml:space="preserve"> </w:t>
      </w:r>
      <w:r>
        <w:rPr>
          <w:rStyle w:val="VerbatimChar"/>
        </w:rPr>
        <w:t xml:space="preserve">11_carr_agent_fleet.md</w:t>
      </w:r>
      <w:r>
        <w:t xml:space="preserve">.</w:t>
      </w:r>
    </w:p>
    <w:bookmarkEnd w:id="12"/>
    <w:bookmarkStart w:id="13" w:name="planned-agent-fleet-layer-3-target-state"/>
    <w:p>
      <w:pPr>
        <w:pStyle w:val="Heading2"/>
      </w:pPr>
      <w:r>
        <w:t xml:space="preserve">Planned agent fleet (Layer 3 target-state)</w:t>
      </w:r>
    </w:p>
    <w:p>
      <w:pPr>
        <w:pStyle w:val="FirstParagraph"/>
      </w:pPr>
      <w:r>
        <w:t xml:space="preserve">Rather than keep the upstream pieces BC-run forever, the plan internalizes them into a</w:t>
      </w:r>
      <w:r>
        <w:t xml:space="preserve"> </w:t>
      </w:r>
      <w:r>
        <w:rPr>
          <w:b/>
          <w:bCs/>
        </w:rPr>
        <w:t xml:space="preserve">7-agent CARR fleet</w:t>
      </w:r>
      <w:r>
        <w:t xml:space="preserve"> </w:t>
      </w:r>
      <w:r>
        <w:t xml:space="preserve">on Azure (full spec:</w:t>
      </w:r>
      <w:r>
        <w:t xml:space="preserve"> </w:t>
      </w:r>
      <w:r>
        <w:rPr>
          <w:rStyle w:val="VerbatimChar"/>
        </w:rPr>
        <w:t xml:space="preserve">docs/azure-migration/11_carr_agent_fleet.md</w:t>
      </w:r>
      <w:r>
        <w:t xml:space="preserve">):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Ingestion / API</w:t>
      </w:r>
      <w:r>
        <w:t xml:space="preserve"> </w:t>
      </w:r>
      <w:r>
        <w:t xml:space="preserve">- replaces the Hub feed + Sales Nav/PhantomBuster sourcing (phased: keep Hub, then pull ClinicalTrials/NIH/SEC/PatentsView directly).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Enrichment</w:t>
      </w:r>
      <w:r>
        <w:t xml:space="preserve"> </w:t>
      </w:r>
      <w:r>
        <w:t xml:space="preserve">- replaces Clay + FullEnrich.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Account-Matching (HITL)</w:t>
      </w:r>
      <w:r>
        <w:t xml:space="preserve"> </w:t>
      </w:r>
      <w:r>
        <w:t xml:space="preserve">- replaces</w:t>
      </w:r>
      <w:r>
        <w:t xml:space="preserve"> </w:t>
      </w:r>
      <w:r>
        <w:rPr>
          <w:rStyle w:val="VerbatimChar"/>
        </w:rPr>
        <w:t xml:space="preserve">carr_account_matcher</w:t>
      </w:r>
      <w:r>
        <w:t xml:space="preserve">, with a human review queue modeled on Made’s stakeholder-registry resolver.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Classification</w:t>
      </w:r>
      <w:r>
        <w:t xml:space="preserve"> </w:t>
      </w:r>
      <w:r>
        <w:t xml:space="preserve">- replaces the classifier notebooks.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SSO / Outreach</w:t>
      </w:r>
      <w:r>
        <w:t xml:space="preserve"> </w:t>
      </w:r>
      <w:r>
        <w:t xml:space="preserve">- replaces the message generators, built as a superset of the SpanCorr + Made SSO agents.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Content Authoring</w:t>
      </w:r>
      <w:r>
        <w:t xml:space="preserve"> </w:t>
      </w:r>
      <w:r>
        <w:t xml:space="preserve">- replaces</w:t>
      </w:r>
      <w:r>
        <w:t xml:space="preserve"> </w:t>
      </w:r>
      <w:r>
        <w:rPr>
          <w:rStyle w:val="VerbatimChar"/>
        </w:rPr>
        <w:t xml:space="preserve">generate-content</w:t>
      </w:r>
      <w:r>
        <w:t xml:space="preserve"> </w:t>
      </w:r>
      <w:r>
        <w:t xml:space="preserve">(Content Studio); drafts sender-voice posts. Drafts only - a human reviews and posts. No automated posting and no social listening (both out of scope for this migration).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Orchestrator / Conductor</w:t>
      </w:r>
      <w:r>
        <w:t xml:space="preserve"> </w:t>
      </w:r>
      <w:r>
        <w:t xml:space="preserve">- propose-only router across the fleet (BC Cortex / SpanCorr Conductor pattern).</w:t>
      </w:r>
    </w:p>
    <w:p>
      <w:pPr>
        <w:pStyle w:val="FirstParagraph"/>
      </w:pPr>
      <w:r>
        <w:t xml:space="preserve">Runtime is</w:t>
      </w:r>
      <w:r>
        <w:t xml:space="preserve"> </w:t>
      </w:r>
      <w:r>
        <w:rPr>
          <w:b/>
          <w:bCs/>
        </w:rPr>
        <w:t xml:space="preserve">hybrid</w:t>
      </w:r>
      <w:r>
        <w:t xml:space="preserve">: Foundry for Entra Agent ID + Model Router + observability, portable agent logic on Foundry Hosted Agents / Container Apps. Prerequisites: the Azure SQL database (Layer 2) and Entra identity (Layer 1a) land first.</w:t>
      </w:r>
    </w:p>
    <w:bookmarkEnd w:id="13"/>
    <w:bookmarkStart w:id="14" w:name="how-to-read-the-pack"/>
    <w:p>
      <w:pPr>
        <w:pStyle w:val="Heading2"/>
      </w:pPr>
      <w:r>
        <w:t xml:space="preserve">How to read the pack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This doc</w:t>
      </w:r>
      <w:r>
        <w:t xml:space="preserve"> </w:t>
      </w:r>
      <w:r>
        <w:t xml:space="preserve">- the whole-system map (start here).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docs/azure-migration/00_START_HERE.md</w:t>
      </w:r>
      <w:r>
        <w:t xml:space="preserve"> </w:t>
      </w:r>
      <w:r>
        <w:t xml:space="preserve">- the research-pack index.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07_azure_sql_conversion.md</w:t>
      </w:r>
      <w:r>
        <w:t xml:space="preserve"> </w:t>
      </w:r>
      <w:r>
        <w:t xml:space="preserve">- the database rewrite (Layer 2).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08_edge_function_census.md</w:t>
      </w:r>
      <w:r>
        <w:t xml:space="preserve"> </w:t>
      </w:r>
      <w:r>
        <w:t xml:space="preserve">- all 26 edge functions (Layer 1b).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09_upstream_data_agents.md</w:t>
      </w:r>
      <w:r>
        <w:t xml:space="preserve"> </w:t>
      </w:r>
      <w:r>
        <w:t xml:space="preserve">- the upstream tooling + custom code (Layer 3).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11_carr_agent_fleet.md</w:t>
      </w:r>
      <w:r>
        <w:t xml:space="preserve"> </w:t>
      </w:r>
      <w:r>
        <w:t xml:space="preserve">- the planned 7-agent fleet that internalizes Layer 3.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05_carr_migration_map.md</w:t>
      </w:r>
      <w:r>
        <w:t xml:space="preserve"> </w:t>
      </w:r>
      <w:r>
        <w:t xml:space="preserve">- the component-by-component crosswalk.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02</w:t>
      </w:r>
      <w:r>
        <w:t xml:space="preserve">,</w:t>
      </w:r>
      <w:r>
        <w:t xml:space="preserve"> </w:t>
      </w:r>
      <w:r>
        <w:rPr>
          <w:rStyle w:val="VerbatimChar"/>
        </w:rPr>
        <w:t xml:space="preserve">03</w:t>
      </w:r>
      <w:r>
        <w:t xml:space="preserve">,</w:t>
      </w:r>
      <w:r>
        <w:t xml:space="preserve"> </w:t>
      </w:r>
      <w:r>
        <w:rPr>
          <w:rStyle w:val="VerbatimChar"/>
        </w:rPr>
        <w:t xml:space="preserve">04</w:t>
      </w:r>
      <w:r>
        <w:t xml:space="preserve"> </w:t>
      </w:r>
      <w:r>
        <w:t xml:space="preserve">- Foundry/AI, compute/frontend, identity/DevOps.</w:t>
      </w:r>
    </w:p>
    <w:bookmarkEnd w:id="14"/>
    <w:bookmarkStart w:id="15" w:name="open-decisions-to-bring-back-to-bw"/>
    <w:p>
      <w:pPr>
        <w:pStyle w:val="Heading2"/>
      </w:pPr>
      <w:r>
        <w:t xml:space="preserve">Open decisions to bring back to BW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Hub dependency:</w:t>
      </w:r>
      <w:r>
        <w:t xml:space="preserve"> </w:t>
      </w:r>
      <w:r>
        <w:t xml:space="preserve">keep BC-run feed into Azure, or internalize the Hub subset into Azure? Target-state is phased retirement via the Ingestion agent. (</w:t>
      </w:r>
      <w:r>
        <w:rPr>
          <w:rStyle w:val="VerbatimChar"/>
        </w:rPr>
        <w:t xml:space="preserve">09</w:t>
      </w:r>
      <w:r>
        <w:t xml:space="preserve"> </w:t>
      </w:r>
      <w:r>
        <w:t xml:space="preserve">Part B4,</w:t>
      </w:r>
      <w:r>
        <w:t xml:space="preserve"> </w:t>
      </w:r>
      <w:r>
        <w:rPr>
          <w:rStyle w:val="VerbatimChar"/>
        </w:rPr>
        <w:t xml:space="preserve">11</w:t>
      </w:r>
      <w:r>
        <w:t xml:space="preserve">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Agent fleet host + review-queue ownership:</w:t>
      </w:r>
      <w:r>
        <w:t xml:space="preserve"> </w:t>
      </w:r>
      <w:r>
        <w:t xml:space="preserve">Foundry Hosted Agents vs Container Apps, and who works the Account-Matching + message-QA review queues during transition. (</w:t>
      </w:r>
      <w:r>
        <w:rPr>
          <w:rStyle w:val="VerbatimChar"/>
        </w:rPr>
        <w:t xml:space="preserve">11</w:t>
      </w:r>
      <w:r>
        <w:t xml:space="preserve">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Azure SQL flavor:</w:t>
      </w:r>
      <w:r>
        <w:t xml:space="preserve"> </w:t>
      </w:r>
      <w:r>
        <w:t xml:space="preserve">Managed Instance vs SQL Database vs SQL-on-VM (not pinned on the 6/17 call). (</w:t>
      </w:r>
      <w:r>
        <w:rPr>
          <w:rStyle w:val="VerbatimChar"/>
        </w:rPr>
        <w:t xml:space="preserve">07</w:t>
      </w:r>
      <w:r>
        <w:t xml:space="preserve"> </w:t>
      </w:r>
      <w:r>
        <w:t xml:space="preserve">section 6)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Rep identity model:</w:t>
      </w:r>
      <w:r>
        <w:t xml:space="preserve"> </w:t>
      </w:r>
      <w:r>
        <w:t xml:space="preserve">Entra-only, External ID, or hybrid. (</w:t>
      </w:r>
      <w:r>
        <w:rPr>
          <w:rStyle w:val="VerbatimChar"/>
        </w:rPr>
        <w:t xml:space="preserve">04</w:t>
      </w:r>
      <w:r>
        <w:t xml:space="preserve">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Compute host:</w:t>
      </w:r>
      <w:r>
        <w:t xml:space="preserve"> </w:t>
      </w:r>
      <w:r>
        <w:t xml:space="preserve">Container Apps vs App Service vs AKS for the functions + middleware. (</w:t>
      </w:r>
      <w:r>
        <w:rPr>
          <w:rStyle w:val="VerbatimChar"/>
        </w:rPr>
        <w:t xml:space="preserve">03</w:t>
      </w:r>
      <w:r>
        <w:t xml:space="preserve">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Lovable:</w:t>
      </w:r>
      <w:r>
        <w:t xml:space="preserve"> </w:t>
      </w:r>
      <w:r>
        <w:t xml:space="preserve">keep as the builder (host output on Azure) or mandate Power Platform. (</w:t>
      </w:r>
      <w:r>
        <w:rPr>
          <w:rStyle w:val="VerbatimChar"/>
        </w:rPr>
        <w:t xml:space="preserve">03</w:t>
      </w:r>
      <w:r>
        <w:t xml:space="preserve">,</w:t>
      </w:r>
      <w:r>
        <w:t xml:space="preserve"> </w:t>
      </w:r>
      <w:r>
        <w:rPr>
          <w:rStyle w:val="VerbatimChar"/>
        </w:rPr>
        <w:t xml:space="preserve">05</w:t>
      </w:r>
      <w:r>
        <w:t xml:space="preserve">)</w:t>
      </w:r>
    </w:p>
    <w:p>
      <w:pPr>
        <w:pStyle w:val="FirstParagraph"/>
      </w:pPr>
      <w:r>
        <w:rPr>
          <w:i/>
          <w:iCs/>
        </w:rPr>
        <w:t xml:space="preserve">This map is a point-in-time snapshot (2026-07-21). Counts are from a live read of the CARR repo, the CARR DB census in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07</w:t>
      </w:r>
      <w:r>
        <w:rPr>
          <w:i/>
          <w:iCs/>
        </w:rPr>
        <w:t xml:space="preserve">, and the bc-ops crontab. Re-verify before relying on any specific figure.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System Migration Map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